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67A6" w14:textId="303FC948" w:rsidR="008500EB" w:rsidRPr="00EE3B3C" w:rsidRDefault="00A53E78" w:rsidP="008500EB">
      <w:pPr>
        <w:outlineLvl w:val="0"/>
        <w:rPr>
          <w:rFonts w:ascii="Arial" w:hAnsi="Arial" w:cs="Arial"/>
          <w:sz w:val="20"/>
        </w:rPr>
      </w:pPr>
      <w:r>
        <w:rPr>
          <w:rFonts w:ascii="Arial" w:hAnsi="Arial" w:cs="Arial"/>
          <w:noProof/>
          <w:snapToGrid/>
          <w:sz w:val="20"/>
        </w:rPr>
        <w:drawing>
          <wp:anchor distT="0" distB="0" distL="114300" distR="114300" simplePos="0" relativeHeight="251658240" behindDoc="0" locked="0" layoutInCell="1" allowOverlap="1" wp14:anchorId="62C7E0A5" wp14:editId="0C023313">
            <wp:simplePos x="0" y="0"/>
            <wp:positionH relativeFrom="column">
              <wp:posOffset>5410200</wp:posOffset>
            </wp:positionH>
            <wp:positionV relativeFrom="paragraph">
              <wp:posOffset>34290</wp:posOffset>
            </wp:positionV>
            <wp:extent cx="695325" cy="1633205"/>
            <wp:effectExtent l="0" t="0" r="0" b="5715"/>
            <wp:wrapThrough wrapText="bothSides">
              <wp:wrapPolygon edited="0">
                <wp:start x="592" y="0"/>
                <wp:lineTo x="592" y="13862"/>
                <wp:lineTo x="2959" y="16131"/>
                <wp:lineTo x="0" y="17139"/>
                <wp:lineTo x="0" y="21424"/>
                <wp:lineTo x="2367" y="21424"/>
                <wp:lineTo x="16570" y="21172"/>
                <wp:lineTo x="20712" y="20919"/>
                <wp:lineTo x="20712" y="17643"/>
                <wp:lineTo x="15978" y="16131"/>
                <wp:lineTo x="14795" y="16131"/>
                <wp:lineTo x="20121" y="14366"/>
                <wp:lineTo x="19529" y="0"/>
                <wp:lineTo x="592" y="0"/>
              </wp:wrapPolygon>
            </wp:wrapThrough>
            <wp:docPr id="2" name="Picture 2" descr="A close up of a blu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UD_Logo-azul-tagline-azu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1633205"/>
                    </a:xfrm>
                    <a:prstGeom prst="rect">
                      <a:avLst/>
                    </a:prstGeom>
                  </pic:spPr>
                </pic:pic>
              </a:graphicData>
            </a:graphic>
            <wp14:sizeRelH relativeFrom="page">
              <wp14:pctWidth>0</wp14:pctWidth>
            </wp14:sizeRelH>
            <wp14:sizeRelV relativeFrom="page">
              <wp14:pctHeight>0</wp14:pctHeight>
            </wp14:sizeRelV>
          </wp:anchor>
        </w:drawing>
      </w:r>
    </w:p>
    <w:p w14:paraId="637F4A4E" w14:textId="7CAAF531" w:rsidR="005A7000" w:rsidRPr="00EE3B3C" w:rsidRDefault="005A7000" w:rsidP="008500EB">
      <w:pPr>
        <w:outlineLvl w:val="0"/>
        <w:rPr>
          <w:rFonts w:ascii="Arial" w:hAnsi="Arial" w:cs="Arial"/>
          <w:sz w:val="20"/>
        </w:rPr>
      </w:pPr>
    </w:p>
    <w:p w14:paraId="4D37C440" w14:textId="75253A70" w:rsidR="00160C49" w:rsidRPr="00EE3B3C" w:rsidRDefault="00160C49" w:rsidP="004A73D7">
      <w:pPr>
        <w:jc w:val="right"/>
        <w:rPr>
          <w:rFonts w:ascii="Arial" w:hAnsi="Arial" w:cs="Arial"/>
          <w:sz w:val="20"/>
        </w:rPr>
      </w:pPr>
    </w:p>
    <w:p w14:paraId="6F70A5B0" w14:textId="77777777" w:rsidR="00653390" w:rsidRPr="00EE3B3C" w:rsidRDefault="00653390" w:rsidP="008500E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z w:val="20"/>
        </w:rPr>
      </w:pPr>
    </w:p>
    <w:p w14:paraId="184E66F5" w14:textId="3C41A648" w:rsidR="000A062D" w:rsidRPr="00EE3B3C" w:rsidRDefault="00366D9C" w:rsidP="000A062D">
      <w:pPr>
        <w:pStyle w:val="BodyText"/>
        <w:jc w:val="center"/>
        <w:rPr>
          <w:rFonts w:ascii="Arial" w:hAnsi="Arial" w:cs="Arial"/>
          <w:b/>
          <w:color w:val="000000"/>
          <w:sz w:val="20"/>
        </w:rPr>
      </w:pPr>
      <w:r>
        <w:rPr>
          <w:rFonts w:ascii="Arial" w:hAnsi="Arial" w:cs="Arial"/>
          <w:b/>
          <w:color w:val="000000"/>
          <w:sz w:val="20"/>
        </w:rPr>
        <w:t xml:space="preserve"> </w:t>
      </w:r>
      <w:r w:rsidR="00E93F0F" w:rsidRPr="00EE3B3C">
        <w:rPr>
          <w:rFonts w:ascii="Arial" w:hAnsi="Arial" w:cs="Arial"/>
          <w:b/>
          <w:color w:val="000000"/>
          <w:sz w:val="20"/>
        </w:rPr>
        <w:t>ENGAGEMENT FACILITY</w:t>
      </w:r>
      <w:r w:rsidR="00235BD1" w:rsidRPr="00EE3B3C">
        <w:rPr>
          <w:rFonts w:ascii="Arial" w:hAnsi="Arial" w:cs="Arial"/>
          <w:b/>
          <w:color w:val="000000"/>
          <w:sz w:val="20"/>
        </w:rPr>
        <w:t xml:space="preserve"> PROGRAM</w:t>
      </w:r>
    </w:p>
    <w:p w14:paraId="0D17736D" w14:textId="77777777" w:rsidR="00235BD1" w:rsidRPr="00EE3B3C" w:rsidRDefault="00235BD1" w:rsidP="000A062D">
      <w:pPr>
        <w:pStyle w:val="BodyText"/>
        <w:jc w:val="center"/>
        <w:rPr>
          <w:rFonts w:ascii="Arial" w:hAnsi="Arial" w:cs="Arial"/>
          <w:b/>
          <w:color w:val="000000"/>
          <w:sz w:val="20"/>
        </w:rPr>
      </w:pPr>
    </w:p>
    <w:p w14:paraId="1159B438" w14:textId="36D98DF2" w:rsidR="009537C1" w:rsidRPr="00EE3B3C" w:rsidRDefault="009537C1" w:rsidP="000A062D">
      <w:pPr>
        <w:pStyle w:val="BodyText"/>
        <w:jc w:val="center"/>
        <w:rPr>
          <w:rFonts w:ascii="Arial" w:hAnsi="Arial" w:cs="Arial"/>
          <w:b/>
          <w:color w:val="000000"/>
          <w:sz w:val="20"/>
        </w:rPr>
      </w:pPr>
      <w:r w:rsidRPr="00EE3B3C">
        <w:rPr>
          <w:rFonts w:ascii="Arial" w:hAnsi="Arial" w:cs="Arial"/>
          <w:b/>
          <w:color w:val="000000"/>
          <w:sz w:val="20"/>
        </w:rPr>
        <w:t>Concept</w:t>
      </w:r>
      <w:r w:rsidR="008C4952">
        <w:rPr>
          <w:rFonts w:ascii="Arial" w:hAnsi="Arial" w:cs="Arial"/>
          <w:b/>
          <w:color w:val="000000"/>
          <w:sz w:val="20"/>
        </w:rPr>
        <w:t xml:space="preserve"> Note</w:t>
      </w:r>
      <w:bookmarkStart w:id="0" w:name="_GoBack"/>
      <w:bookmarkEnd w:id="0"/>
    </w:p>
    <w:p w14:paraId="07ACB886" w14:textId="77777777" w:rsidR="000A062D" w:rsidRPr="00EE3B3C" w:rsidRDefault="000A062D" w:rsidP="000A062D">
      <w:pPr>
        <w:pStyle w:val="BodyText"/>
        <w:jc w:val="center"/>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6961"/>
      </w:tblGrid>
      <w:tr w:rsidR="00BF5A00" w:rsidRPr="00EE3B3C" w14:paraId="7E6CF334" w14:textId="77777777" w:rsidTr="007F16DF">
        <w:trPr>
          <w:trHeight w:val="422"/>
        </w:trPr>
        <w:tc>
          <w:tcPr>
            <w:tcW w:w="2389" w:type="dxa"/>
            <w:shd w:val="clear" w:color="auto" w:fill="FFFFFF" w:themeFill="background1"/>
          </w:tcPr>
          <w:p w14:paraId="30F2F8AA" w14:textId="2036AA82" w:rsidR="00BF5A00" w:rsidRPr="00EE3B3C" w:rsidRDefault="00BF5A00" w:rsidP="000A062D">
            <w:pPr>
              <w:rPr>
                <w:rFonts w:ascii="Arial" w:hAnsi="Arial" w:cs="Arial"/>
                <w:sz w:val="20"/>
                <w:lang w:val="en-US"/>
              </w:rPr>
            </w:pPr>
            <w:r w:rsidRPr="00EE3B3C">
              <w:rPr>
                <w:rFonts w:ascii="Arial" w:hAnsi="Arial" w:cs="Arial"/>
                <w:sz w:val="20"/>
                <w:lang w:val="en-US"/>
              </w:rPr>
              <w:t xml:space="preserve">Country </w:t>
            </w:r>
          </w:p>
        </w:tc>
        <w:tc>
          <w:tcPr>
            <w:tcW w:w="6961" w:type="dxa"/>
            <w:shd w:val="clear" w:color="auto" w:fill="FFFFFF" w:themeFill="background1"/>
          </w:tcPr>
          <w:p w14:paraId="743A5F75" w14:textId="7DEDCC9C" w:rsidR="00BF5A00" w:rsidRPr="00EE3B3C" w:rsidRDefault="000422CD" w:rsidP="000A062D">
            <w:pPr>
              <w:rPr>
                <w:rFonts w:ascii="Arial" w:hAnsi="Arial" w:cs="Arial"/>
                <w:sz w:val="20"/>
                <w:lang w:val="en-US"/>
              </w:rPr>
            </w:pPr>
            <w:r w:rsidRPr="00EE3B3C">
              <w:rPr>
                <w:rFonts w:ascii="Arial" w:hAnsi="Arial" w:cs="Arial"/>
                <w:sz w:val="20"/>
                <w:lang w:val="en-US"/>
              </w:rPr>
              <w:t>Panamá</w:t>
            </w:r>
          </w:p>
        </w:tc>
      </w:tr>
      <w:tr w:rsidR="00BF5A00" w:rsidRPr="00D972FD" w14:paraId="7C1FA6D2" w14:textId="77777777" w:rsidTr="007F16DF">
        <w:tc>
          <w:tcPr>
            <w:tcW w:w="2389" w:type="dxa"/>
            <w:shd w:val="clear" w:color="auto" w:fill="FFFFFF" w:themeFill="background1"/>
          </w:tcPr>
          <w:p w14:paraId="680B8657" w14:textId="77777777" w:rsidR="00BF5A00" w:rsidRPr="00EE3B3C" w:rsidRDefault="00055807" w:rsidP="000A062D">
            <w:pPr>
              <w:rPr>
                <w:rFonts w:ascii="Arial" w:hAnsi="Arial" w:cs="Arial"/>
                <w:sz w:val="20"/>
                <w:lang w:val="en-US"/>
              </w:rPr>
            </w:pPr>
            <w:r w:rsidRPr="00EE3B3C">
              <w:rPr>
                <w:rFonts w:ascii="Arial" w:hAnsi="Arial" w:cs="Arial"/>
                <w:sz w:val="20"/>
                <w:lang w:val="en-US"/>
              </w:rPr>
              <w:t>Title:</w:t>
            </w:r>
          </w:p>
        </w:tc>
        <w:tc>
          <w:tcPr>
            <w:tcW w:w="6961" w:type="dxa"/>
            <w:shd w:val="clear" w:color="auto" w:fill="FFFFFF" w:themeFill="background1"/>
          </w:tcPr>
          <w:p w14:paraId="1D2DABAC" w14:textId="14F70BB6" w:rsidR="00C41113" w:rsidRPr="00EE3B3C" w:rsidRDefault="00A53E78" w:rsidP="000A062D">
            <w:pPr>
              <w:rPr>
                <w:rFonts w:ascii="Arial" w:hAnsi="Arial" w:cs="Arial"/>
                <w:sz w:val="20"/>
                <w:lang w:val="es-419"/>
              </w:rPr>
            </w:pPr>
            <w:r w:rsidRPr="00A53E78">
              <w:rPr>
                <w:rFonts w:ascii="Arial" w:hAnsi="Arial" w:cs="Arial"/>
                <w:b/>
                <w:sz w:val="20"/>
                <w:lang w:val="en-US"/>
              </w:rPr>
              <w:t>Panama ‘Cyan</w:t>
            </w:r>
            <w:r w:rsidRPr="00A53E78">
              <w:rPr>
                <w:rFonts w:ascii="Arial" w:hAnsi="Arial" w:cs="Arial"/>
                <w:b/>
                <w:sz w:val="20"/>
                <w:vertAlign w:val="superscript"/>
                <w:lang w:val="en-US"/>
              </w:rPr>
              <w:footnoteReference w:id="1"/>
            </w:r>
            <w:r w:rsidRPr="00A53E78">
              <w:rPr>
                <w:rFonts w:ascii="Arial" w:hAnsi="Arial" w:cs="Arial"/>
                <w:b/>
                <w:sz w:val="20"/>
                <w:lang w:val="en-US"/>
              </w:rPr>
              <w:t xml:space="preserve"> Economy’</w:t>
            </w:r>
          </w:p>
        </w:tc>
      </w:tr>
      <w:tr w:rsidR="003525D5" w:rsidRPr="00EE3B3C" w14:paraId="1DD43F25" w14:textId="77777777" w:rsidTr="007F16DF">
        <w:tc>
          <w:tcPr>
            <w:tcW w:w="2389" w:type="dxa"/>
            <w:shd w:val="clear" w:color="auto" w:fill="FFFFFF" w:themeFill="background1"/>
          </w:tcPr>
          <w:p w14:paraId="40270F6A" w14:textId="002152B4" w:rsidR="003525D5" w:rsidRPr="00EE3B3C" w:rsidRDefault="003525D5" w:rsidP="000A062D">
            <w:pPr>
              <w:rPr>
                <w:rFonts w:ascii="Arial" w:hAnsi="Arial" w:cs="Arial"/>
                <w:sz w:val="20"/>
                <w:lang w:val="en-US"/>
              </w:rPr>
            </w:pPr>
            <w:r w:rsidRPr="00EE3B3C">
              <w:rPr>
                <w:rFonts w:ascii="Arial" w:hAnsi="Arial" w:cs="Arial"/>
                <w:sz w:val="20"/>
                <w:lang w:val="en-US"/>
              </w:rPr>
              <w:t>Project number:</w:t>
            </w:r>
          </w:p>
        </w:tc>
        <w:tc>
          <w:tcPr>
            <w:tcW w:w="6961" w:type="dxa"/>
            <w:shd w:val="clear" w:color="auto" w:fill="FFFFFF" w:themeFill="background1"/>
          </w:tcPr>
          <w:p w14:paraId="35872CF3" w14:textId="1999F721" w:rsidR="003525D5" w:rsidRPr="00EE3B3C" w:rsidRDefault="00A53E78" w:rsidP="000A062D">
            <w:pPr>
              <w:rPr>
                <w:rFonts w:ascii="Arial" w:hAnsi="Arial" w:cs="Arial"/>
                <w:sz w:val="20"/>
                <w:lang w:val="en-US"/>
              </w:rPr>
            </w:pPr>
            <w:r w:rsidRPr="00EE3B3C">
              <w:rPr>
                <w:rFonts w:ascii="Arial" w:hAnsi="Arial" w:cs="Arial"/>
                <w:sz w:val="20"/>
                <w:lang w:val="en-US"/>
              </w:rPr>
              <w:t>00</w:t>
            </w:r>
            <w:r>
              <w:rPr>
                <w:rFonts w:ascii="Arial" w:hAnsi="Arial" w:cs="Arial"/>
                <w:sz w:val="20"/>
                <w:lang w:val="en-US"/>
              </w:rPr>
              <w:t>124267</w:t>
            </w:r>
          </w:p>
        </w:tc>
      </w:tr>
      <w:tr w:rsidR="003525D5" w:rsidRPr="00EE3B3C" w14:paraId="4879A22C" w14:textId="77777777" w:rsidTr="007F16DF">
        <w:tc>
          <w:tcPr>
            <w:tcW w:w="2389" w:type="dxa"/>
            <w:shd w:val="clear" w:color="auto" w:fill="FFFFFF" w:themeFill="background1"/>
          </w:tcPr>
          <w:p w14:paraId="49996F72" w14:textId="68EEDBF7" w:rsidR="003525D5" w:rsidRPr="00EE3B3C" w:rsidRDefault="003525D5" w:rsidP="000A062D">
            <w:pPr>
              <w:rPr>
                <w:rFonts w:ascii="Arial" w:hAnsi="Arial" w:cs="Arial"/>
                <w:sz w:val="20"/>
                <w:lang w:val="en-US"/>
              </w:rPr>
            </w:pPr>
            <w:r w:rsidRPr="00EE3B3C">
              <w:rPr>
                <w:rFonts w:ascii="Arial" w:hAnsi="Arial" w:cs="Arial"/>
                <w:sz w:val="20"/>
                <w:lang w:val="en-US"/>
              </w:rPr>
              <w:t>Output number:</w:t>
            </w:r>
          </w:p>
        </w:tc>
        <w:tc>
          <w:tcPr>
            <w:tcW w:w="6961" w:type="dxa"/>
            <w:shd w:val="clear" w:color="auto" w:fill="FFFFFF" w:themeFill="background1"/>
          </w:tcPr>
          <w:p w14:paraId="1E554660" w14:textId="42AA6170" w:rsidR="003525D5" w:rsidRPr="00EE3B3C" w:rsidRDefault="00A53E78" w:rsidP="000A062D">
            <w:pPr>
              <w:rPr>
                <w:rFonts w:ascii="Arial" w:hAnsi="Arial" w:cs="Arial"/>
                <w:sz w:val="20"/>
                <w:lang w:val="en-US"/>
              </w:rPr>
            </w:pPr>
            <w:r w:rsidRPr="00EE3B3C">
              <w:rPr>
                <w:rFonts w:ascii="Arial" w:hAnsi="Arial" w:cs="Arial"/>
                <w:sz w:val="20"/>
                <w:lang w:val="en-US"/>
              </w:rPr>
              <w:t>001</w:t>
            </w:r>
            <w:r>
              <w:rPr>
                <w:rFonts w:ascii="Arial" w:hAnsi="Arial" w:cs="Arial"/>
                <w:sz w:val="20"/>
                <w:lang w:val="en-US"/>
              </w:rPr>
              <w:t>19274</w:t>
            </w:r>
          </w:p>
        </w:tc>
      </w:tr>
      <w:tr w:rsidR="00A53E78" w:rsidRPr="00EE3B3C" w14:paraId="4D254CF7" w14:textId="77777777" w:rsidTr="007F16DF">
        <w:tc>
          <w:tcPr>
            <w:tcW w:w="2389" w:type="dxa"/>
            <w:shd w:val="clear" w:color="auto" w:fill="FFFFFF" w:themeFill="background1"/>
          </w:tcPr>
          <w:p w14:paraId="0F07BB57" w14:textId="04A27B20" w:rsidR="00A53E78" w:rsidRPr="00EE3B3C" w:rsidRDefault="00A53E78" w:rsidP="000A062D">
            <w:pPr>
              <w:rPr>
                <w:rFonts w:ascii="Arial" w:hAnsi="Arial" w:cs="Arial"/>
                <w:sz w:val="20"/>
                <w:lang w:val="en-US"/>
              </w:rPr>
            </w:pPr>
            <w:r>
              <w:rPr>
                <w:rFonts w:ascii="Arial" w:hAnsi="Arial" w:cs="Arial"/>
                <w:sz w:val="20"/>
                <w:lang w:val="en-US"/>
              </w:rPr>
              <w:t>Implementing Partner</w:t>
            </w:r>
          </w:p>
        </w:tc>
        <w:tc>
          <w:tcPr>
            <w:tcW w:w="6961" w:type="dxa"/>
            <w:shd w:val="clear" w:color="auto" w:fill="FFFFFF" w:themeFill="background1"/>
          </w:tcPr>
          <w:p w14:paraId="36AAAFC1" w14:textId="57E3B6D4" w:rsidR="00A53E78" w:rsidRPr="00EE3B3C" w:rsidRDefault="00A53E78" w:rsidP="000A062D">
            <w:pPr>
              <w:rPr>
                <w:rFonts w:ascii="Arial" w:hAnsi="Arial" w:cs="Arial"/>
                <w:sz w:val="20"/>
                <w:lang w:val="en-US"/>
              </w:rPr>
            </w:pPr>
            <w:r>
              <w:rPr>
                <w:rFonts w:ascii="Arial" w:hAnsi="Arial" w:cs="Arial"/>
                <w:sz w:val="20"/>
                <w:lang w:val="en-US"/>
              </w:rPr>
              <w:t>United Nations Development Programme</w:t>
            </w:r>
          </w:p>
        </w:tc>
      </w:tr>
      <w:tr w:rsidR="00055807" w:rsidRPr="00EE3B3C" w14:paraId="5B438A51" w14:textId="77777777" w:rsidTr="00C208BD">
        <w:tc>
          <w:tcPr>
            <w:tcW w:w="2389" w:type="dxa"/>
          </w:tcPr>
          <w:p w14:paraId="6AE9B20A" w14:textId="3E6E70AC" w:rsidR="00055807" w:rsidRPr="00EE3B3C" w:rsidRDefault="00A53E78" w:rsidP="000A062D">
            <w:pPr>
              <w:rPr>
                <w:rFonts w:ascii="Arial" w:hAnsi="Arial" w:cs="Arial"/>
                <w:sz w:val="20"/>
                <w:lang w:val="en-US"/>
              </w:rPr>
            </w:pPr>
            <w:r>
              <w:rPr>
                <w:rFonts w:ascii="Arial" w:hAnsi="Arial" w:cs="Arial"/>
                <w:sz w:val="20"/>
                <w:lang w:val="en-US"/>
              </w:rPr>
              <w:t>Strategic</w:t>
            </w:r>
            <w:r w:rsidR="00055807" w:rsidRPr="00EE3B3C">
              <w:rPr>
                <w:rFonts w:ascii="Arial" w:hAnsi="Arial" w:cs="Arial"/>
                <w:sz w:val="20"/>
                <w:lang w:val="en-US"/>
              </w:rPr>
              <w:t xml:space="preserve"> Partners:</w:t>
            </w:r>
          </w:p>
        </w:tc>
        <w:tc>
          <w:tcPr>
            <w:tcW w:w="6961" w:type="dxa"/>
          </w:tcPr>
          <w:p w14:paraId="22601648" w14:textId="72B217FB" w:rsidR="00CC7216" w:rsidRPr="00A53E78" w:rsidRDefault="00A53E78" w:rsidP="00A53E78">
            <w:pPr>
              <w:jc w:val="both"/>
              <w:rPr>
                <w:rFonts w:ascii="Arial" w:hAnsi="Arial" w:cs="Arial"/>
                <w:sz w:val="20"/>
                <w:lang w:val="en-US"/>
              </w:rPr>
            </w:pPr>
            <w:r w:rsidRPr="00A53E78">
              <w:rPr>
                <w:rFonts w:ascii="Arial" w:hAnsi="Arial" w:cs="Arial"/>
                <w:sz w:val="20"/>
                <w:lang w:val="en-US"/>
              </w:rPr>
              <w:t>Ministry of Environment, Ministry o</w:t>
            </w:r>
            <w:r>
              <w:rPr>
                <w:rFonts w:ascii="Arial" w:hAnsi="Arial" w:cs="Arial"/>
                <w:sz w:val="20"/>
                <w:lang w:val="en-US"/>
              </w:rPr>
              <w:t>f Economy and Finance</w:t>
            </w:r>
          </w:p>
        </w:tc>
      </w:tr>
      <w:tr w:rsidR="00055807" w:rsidRPr="00EE3B3C" w14:paraId="78EAD956" w14:textId="77777777" w:rsidTr="00C208BD">
        <w:tc>
          <w:tcPr>
            <w:tcW w:w="2389" w:type="dxa"/>
          </w:tcPr>
          <w:p w14:paraId="518F5047" w14:textId="164917C3" w:rsidR="00055807" w:rsidRPr="00EE3B3C" w:rsidRDefault="00055807" w:rsidP="000A062D">
            <w:pPr>
              <w:rPr>
                <w:rFonts w:ascii="Arial" w:hAnsi="Arial" w:cs="Arial"/>
                <w:sz w:val="20"/>
                <w:lang w:val="en-US"/>
              </w:rPr>
            </w:pPr>
            <w:r w:rsidRPr="00EE3B3C">
              <w:rPr>
                <w:rFonts w:ascii="Arial" w:hAnsi="Arial" w:cs="Arial"/>
                <w:sz w:val="20"/>
                <w:lang w:val="en-US"/>
              </w:rPr>
              <w:t>Budget:</w:t>
            </w:r>
          </w:p>
        </w:tc>
        <w:tc>
          <w:tcPr>
            <w:tcW w:w="6961" w:type="dxa"/>
          </w:tcPr>
          <w:p w14:paraId="02079BA6" w14:textId="4615EB82" w:rsidR="00055807" w:rsidRPr="00EE3B3C" w:rsidRDefault="000D5573" w:rsidP="000A062D">
            <w:pPr>
              <w:rPr>
                <w:rFonts w:ascii="Arial" w:hAnsi="Arial" w:cs="Arial"/>
                <w:sz w:val="20"/>
                <w:lang w:val="en-US"/>
              </w:rPr>
            </w:pPr>
            <w:r w:rsidRPr="00EE3B3C">
              <w:rPr>
                <w:rFonts w:ascii="Arial" w:hAnsi="Arial" w:cs="Arial"/>
                <w:sz w:val="20"/>
                <w:lang w:val="en-US"/>
              </w:rPr>
              <w:t xml:space="preserve">USD </w:t>
            </w:r>
            <w:r w:rsidR="00A53E78">
              <w:rPr>
                <w:rFonts w:ascii="Arial" w:hAnsi="Arial" w:cs="Arial"/>
                <w:sz w:val="20"/>
                <w:lang w:val="en-US"/>
              </w:rPr>
              <w:t>150,000</w:t>
            </w:r>
            <w:r w:rsidR="00E24DF1">
              <w:rPr>
                <w:rFonts w:ascii="Arial" w:hAnsi="Arial" w:cs="Arial"/>
                <w:sz w:val="20"/>
                <w:lang w:val="en-US"/>
              </w:rPr>
              <w:t>.00</w:t>
            </w:r>
          </w:p>
        </w:tc>
      </w:tr>
    </w:tbl>
    <w:p w14:paraId="64A0B4A0" w14:textId="77777777" w:rsidR="00055807" w:rsidRPr="00EE3B3C" w:rsidRDefault="00055807" w:rsidP="00911264">
      <w:pPr>
        <w:pStyle w:val="Heading3"/>
        <w:rPr>
          <w:rFonts w:ascii="Arial" w:hAnsi="Arial" w:cs="Arial"/>
          <w:bCs w:val="0"/>
          <w:sz w:val="20"/>
          <w:szCs w:val="20"/>
        </w:rPr>
      </w:pPr>
    </w:p>
    <w:p w14:paraId="043E3CC3" w14:textId="28BC7EC3" w:rsidR="003D073A" w:rsidRPr="00EE3B3C" w:rsidRDefault="003D073A" w:rsidP="00911264">
      <w:pPr>
        <w:pStyle w:val="Heading3"/>
        <w:rPr>
          <w:rFonts w:ascii="Arial" w:hAnsi="Arial" w:cs="Arial"/>
          <w:b w:val="0"/>
          <w:bCs w:val="0"/>
          <w:sz w:val="20"/>
          <w:szCs w:val="20"/>
        </w:rPr>
      </w:pPr>
      <w:r w:rsidRPr="00EE3B3C">
        <w:rPr>
          <w:rFonts w:ascii="Arial" w:hAnsi="Arial" w:cs="Arial"/>
          <w:bCs w:val="0"/>
          <w:sz w:val="20"/>
          <w:szCs w:val="20"/>
        </w:rPr>
        <w:t>I.  PURPOSE</w:t>
      </w:r>
      <w:r w:rsidR="00BB2B39" w:rsidRPr="00EE3B3C">
        <w:rPr>
          <w:rFonts w:ascii="Arial" w:hAnsi="Arial" w:cs="Arial"/>
          <w:bCs w:val="0"/>
          <w:sz w:val="20"/>
          <w:szCs w:val="20"/>
        </w:rPr>
        <w:t xml:space="preserve"> OF THE INITIATIVE</w:t>
      </w:r>
    </w:p>
    <w:p w14:paraId="62ADC820" w14:textId="77777777" w:rsidR="003D073A" w:rsidRPr="00EE3B3C" w:rsidRDefault="003D073A" w:rsidP="003D073A">
      <w:pPr>
        <w:pStyle w:val="BodyText"/>
        <w:rPr>
          <w:rFonts w:ascii="Arial" w:hAnsi="Arial" w:cs="Arial"/>
          <w:color w:val="000000"/>
          <w:sz w:val="20"/>
        </w:rPr>
      </w:pPr>
    </w:p>
    <w:p w14:paraId="3FE351CF" w14:textId="75D61924" w:rsidR="003D073A" w:rsidRPr="00EE3B3C" w:rsidRDefault="003D073A" w:rsidP="00A53E78">
      <w:pPr>
        <w:pStyle w:val="BodyText2"/>
        <w:widowControl/>
        <w:numPr>
          <w:ilvl w:val="1"/>
          <w:numId w:val="15"/>
        </w:numPr>
        <w:autoSpaceDE/>
        <w:autoSpaceDN/>
        <w:adjustRightInd/>
        <w:ind w:firstLine="0"/>
        <w:rPr>
          <w:rFonts w:ascii="Arial" w:hAnsi="Arial" w:cs="Arial"/>
          <w:color w:val="000000"/>
          <w:sz w:val="20"/>
        </w:rPr>
      </w:pPr>
      <w:r w:rsidRPr="00EE3B3C">
        <w:rPr>
          <w:rFonts w:ascii="Arial" w:hAnsi="Arial" w:cs="Arial"/>
          <w:color w:val="000000"/>
          <w:sz w:val="20"/>
        </w:rPr>
        <w:t xml:space="preserve">Provide the main </w:t>
      </w:r>
      <w:r w:rsidR="00BB2B39" w:rsidRPr="00EE3B3C">
        <w:rPr>
          <w:rFonts w:ascii="Arial" w:hAnsi="Arial" w:cs="Arial"/>
          <w:color w:val="000000"/>
          <w:sz w:val="20"/>
        </w:rPr>
        <w:t>objective</w:t>
      </w:r>
      <w:r w:rsidR="00F46494" w:rsidRPr="00EE3B3C">
        <w:rPr>
          <w:rFonts w:ascii="Arial" w:hAnsi="Arial" w:cs="Arial"/>
          <w:color w:val="000000"/>
          <w:sz w:val="20"/>
        </w:rPr>
        <w:t xml:space="preserve"> of the </w:t>
      </w:r>
      <w:r w:rsidR="00BB2B39" w:rsidRPr="00EE3B3C">
        <w:rPr>
          <w:rFonts w:ascii="Arial" w:hAnsi="Arial" w:cs="Arial"/>
          <w:color w:val="000000"/>
          <w:sz w:val="20"/>
        </w:rPr>
        <w:t>initiative</w:t>
      </w:r>
      <w:r w:rsidR="00F46494" w:rsidRPr="00EE3B3C">
        <w:rPr>
          <w:rFonts w:ascii="Arial" w:hAnsi="Arial" w:cs="Arial"/>
          <w:color w:val="000000"/>
          <w:sz w:val="20"/>
        </w:rPr>
        <w:t>.</w:t>
      </w:r>
    </w:p>
    <w:p w14:paraId="318F7B8E" w14:textId="6883CBA1" w:rsidR="009537C1" w:rsidRPr="00EE3B3C" w:rsidRDefault="009537C1" w:rsidP="009537C1">
      <w:pPr>
        <w:pStyle w:val="BodyText2"/>
        <w:widowControl/>
        <w:autoSpaceDE/>
        <w:autoSpaceDN/>
        <w:adjustRightInd/>
        <w:rPr>
          <w:rFonts w:ascii="Arial" w:hAnsi="Arial" w:cs="Arial"/>
          <w:color w:val="000000"/>
          <w:sz w:val="20"/>
        </w:rPr>
      </w:pPr>
    </w:p>
    <w:p w14:paraId="1255C12F" w14:textId="01908806" w:rsidR="00A53E78" w:rsidRPr="00A53E78" w:rsidRDefault="00A53E78" w:rsidP="00A53E78">
      <w:pPr>
        <w:pStyle w:val="Heading3"/>
        <w:rPr>
          <w:rFonts w:ascii="Arial" w:hAnsi="Arial" w:cs="Arial"/>
          <w:bCs w:val="0"/>
          <w:sz w:val="20"/>
          <w:szCs w:val="20"/>
        </w:rPr>
      </w:pPr>
      <w:r w:rsidRPr="00A53E78">
        <w:rPr>
          <w:rFonts w:ascii="Arial" w:hAnsi="Arial" w:cs="Arial"/>
          <w:bCs w:val="0"/>
          <w:sz w:val="20"/>
          <w:szCs w:val="20"/>
        </w:rPr>
        <w:t xml:space="preserve">Expected Results: </w:t>
      </w:r>
    </w:p>
    <w:p w14:paraId="20BF0973" w14:textId="77777777" w:rsidR="00A53E78" w:rsidRPr="00953C05" w:rsidRDefault="00A53E78" w:rsidP="00A53E78">
      <w:pPr>
        <w:rPr>
          <w:rFonts w:ascii="Myriad Pro" w:hAnsi="Myriad Pro"/>
        </w:rPr>
      </w:pPr>
    </w:p>
    <w:p w14:paraId="7EE0DB52" w14:textId="77777777" w:rsidR="00A53E78" w:rsidRPr="00A53E78" w:rsidRDefault="00A53E78" w:rsidP="00A53E78">
      <w:pPr>
        <w:pStyle w:val="CommentText"/>
        <w:jc w:val="both"/>
        <w:rPr>
          <w:rFonts w:ascii="Arial" w:hAnsi="Arial" w:cs="Arial"/>
          <w:lang w:val="en-US"/>
        </w:rPr>
      </w:pPr>
      <w:r w:rsidRPr="00631C95">
        <w:rPr>
          <w:rFonts w:ascii="Arial" w:hAnsi="Arial" w:cs="Arial"/>
          <w:b/>
          <w:bCs/>
          <w:lang w:val="en-US"/>
        </w:rPr>
        <w:t xml:space="preserve">The eventual result </w:t>
      </w:r>
      <w:r w:rsidRPr="00A53E78">
        <w:rPr>
          <w:rFonts w:ascii="Arial" w:hAnsi="Arial" w:cs="Arial"/>
          <w:lang w:val="en-US"/>
        </w:rPr>
        <w:t>will be the integration of the blue economy with the green economy, thereby</w:t>
      </w:r>
      <w:r>
        <w:rPr>
          <w:rFonts w:ascii="Myriad Pro" w:hAnsi="Myriad Pro"/>
          <w:iCs/>
          <w:sz w:val="22"/>
          <w:szCs w:val="22"/>
        </w:rPr>
        <w:t xml:space="preserve"> </w:t>
      </w:r>
      <w:r w:rsidRPr="00A53E78">
        <w:rPr>
          <w:rFonts w:ascii="Arial" w:hAnsi="Arial" w:cs="Arial"/>
          <w:lang w:val="en-US"/>
        </w:rPr>
        <w:t xml:space="preserve">creating a ‘cyan’ mixture unique to Panama and raising its global profile as a leader in sustainable development. This would lead to integrated policy making that ensures positive interaction between economic activity (which is today largely based on the Panama Canal and its environs) on the one hand, and efforts to protect Panama’s environment and grow the green economy, on the other. It is also hoped to lead to greater climate-related resource flows to Panama. </w:t>
      </w:r>
    </w:p>
    <w:p w14:paraId="30F6FAD7" w14:textId="77777777" w:rsidR="00A53E78" w:rsidRDefault="00A53E78" w:rsidP="00A53E78">
      <w:pPr>
        <w:pStyle w:val="CommentText"/>
        <w:jc w:val="both"/>
        <w:rPr>
          <w:rFonts w:ascii="Arial" w:hAnsi="Arial" w:cs="Arial"/>
          <w:lang w:val="en-US"/>
        </w:rPr>
      </w:pPr>
    </w:p>
    <w:p w14:paraId="134AE249" w14:textId="22805985" w:rsidR="00A53E78" w:rsidRPr="00A53E78" w:rsidRDefault="00A53E78" w:rsidP="00A53E78">
      <w:pPr>
        <w:pStyle w:val="CommentText"/>
        <w:jc w:val="both"/>
        <w:rPr>
          <w:rFonts w:ascii="Arial" w:hAnsi="Arial" w:cs="Arial"/>
          <w:lang w:val="en-US"/>
        </w:rPr>
      </w:pPr>
      <w:r w:rsidRPr="00631C95">
        <w:rPr>
          <w:rFonts w:ascii="Arial" w:hAnsi="Arial" w:cs="Arial"/>
          <w:b/>
          <w:bCs/>
          <w:lang w:val="en-US"/>
        </w:rPr>
        <w:t>Specific results</w:t>
      </w:r>
      <w:r w:rsidRPr="00A53E78">
        <w:rPr>
          <w:rFonts w:ascii="Arial" w:hAnsi="Arial" w:cs="Arial"/>
          <w:lang w:val="en-US"/>
        </w:rPr>
        <w:t xml:space="preserve"> include the formulation of a blue green agenda for the country; creation of a blue green platform that includes public and private sectors; and identification of innovative financing opportunities. By the end of 2020, the project will also create a ‘blue green process’ through which all actors developing activities that affect the marine and coastal ecosystems of the country will take into account the concepts of sustainable development; sustainable production; conservation; research; capacity building; blue economy; and job creation. </w:t>
      </w:r>
    </w:p>
    <w:p w14:paraId="0882F1BB" w14:textId="77777777" w:rsidR="00A53E78" w:rsidRDefault="00A53E78" w:rsidP="00A53E78">
      <w:pPr>
        <w:pStyle w:val="CommentText"/>
        <w:jc w:val="both"/>
        <w:rPr>
          <w:rFonts w:ascii="Arial" w:hAnsi="Arial" w:cs="Arial"/>
          <w:lang w:val="en-US"/>
        </w:rPr>
      </w:pPr>
    </w:p>
    <w:p w14:paraId="3AD7C9FC" w14:textId="4BC9670B" w:rsidR="00A53E78" w:rsidRPr="00A53E78" w:rsidRDefault="00A53E78" w:rsidP="00A53E78">
      <w:pPr>
        <w:pStyle w:val="CommentText"/>
        <w:jc w:val="both"/>
        <w:rPr>
          <w:rFonts w:ascii="Arial" w:hAnsi="Arial" w:cs="Arial"/>
          <w:lang w:val="en-US"/>
        </w:rPr>
      </w:pPr>
      <w:r w:rsidRPr="00A53E78">
        <w:rPr>
          <w:rFonts w:ascii="Arial" w:hAnsi="Arial" w:cs="Arial"/>
          <w:lang w:val="en-US"/>
        </w:rPr>
        <w:t>The initiative is expected to build on UNDP’s existing relationships with the institutions that are part of the blue green economy and expand on its relationship with the MEF. For example, with financing from Germany, UNDP did an analysis of economic flows generated by the mangroves in several districts of Chiriquí, based on the goods and services they provide, and valued this at more than US$27 million per year. These types of valuation studies and economic flows will be key for the blue green economy and require the involvement of the MEF. The initiative will also incorporate finance challenges using the BIOFIN approach which incorporates biodiversity/climate change expenditure review, financial needs assessment and the blue green economy finance plan and finance solutions. Part of the blue green economy will also entail engagement with women, youth and vulnerable communities (including indigenous and afro descendants) to promote innovative financing instruments such as blue bonds and revenue guarantees.  The initiative will have policy impact via the formulation of a Blue Green Economy Strategy as part of the national policy on oceans.</w:t>
      </w:r>
    </w:p>
    <w:p w14:paraId="7CFB3266" w14:textId="77777777" w:rsidR="00A53E78" w:rsidRDefault="00A53E78" w:rsidP="00A53E78">
      <w:pPr>
        <w:pStyle w:val="CommentText"/>
        <w:jc w:val="both"/>
        <w:rPr>
          <w:rFonts w:ascii="Arial" w:hAnsi="Arial" w:cs="Arial"/>
          <w:lang w:val="en-US"/>
        </w:rPr>
      </w:pPr>
    </w:p>
    <w:p w14:paraId="0783C689" w14:textId="77777777" w:rsidR="009B47D7" w:rsidRDefault="00A53E78" w:rsidP="00A53E78">
      <w:pPr>
        <w:pStyle w:val="CommentText"/>
        <w:jc w:val="both"/>
        <w:rPr>
          <w:rFonts w:ascii="Arial" w:hAnsi="Arial" w:cs="Arial"/>
          <w:lang w:val="en-US"/>
        </w:rPr>
      </w:pPr>
      <w:r w:rsidRPr="00631C95">
        <w:rPr>
          <w:rFonts w:ascii="Arial" w:hAnsi="Arial" w:cs="Arial"/>
          <w:b/>
          <w:bCs/>
          <w:lang w:val="en-US"/>
        </w:rPr>
        <w:t>A major expected result</w:t>
      </w:r>
      <w:r w:rsidRPr="00A53E78">
        <w:rPr>
          <w:rFonts w:ascii="Arial" w:hAnsi="Arial" w:cs="Arial"/>
          <w:lang w:val="en-US"/>
        </w:rPr>
        <w:t xml:space="preserve"> is UNDP’s positioning and leadership in the sector, particularly at a time when the UN system is designing its new Cooperation Framework. Other expected results that will impact on </w:t>
      </w:r>
      <w:r w:rsidRPr="00A53E78">
        <w:rPr>
          <w:rFonts w:ascii="Arial" w:hAnsi="Arial" w:cs="Arial"/>
          <w:lang w:val="en-US"/>
        </w:rPr>
        <w:lastRenderedPageBreak/>
        <w:t xml:space="preserve">UNDP’s revenue stream include: 1) the creation of a compensation scheme (using funding from the </w:t>
      </w:r>
    </w:p>
    <w:p w14:paraId="4CDA3B37" w14:textId="77777777" w:rsidR="009B47D7" w:rsidRDefault="009B47D7" w:rsidP="00A53E78">
      <w:pPr>
        <w:pStyle w:val="CommentText"/>
        <w:jc w:val="both"/>
        <w:rPr>
          <w:rFonts w:ascii="Arial" w:hAnsi="Arial" w:cs="Arial"/>
          <w:lang w:val="en-US"/>
        </w:rPr>
      </w:pPr>
    </w:p>
    <w:p w14:paraId="0EF8A303" w14:textId="77777777" w:rsidR="009B47D7" w:rsidRDefault="009B47D7" w:rsidP="00A53E78">
      <w:pPr>
        <w:pStyle w:val="CommentText"/>
        <w:jc w:val="both"/>
        <w:rPr>
          <w:rFonts w:ascii="Arial" w:hAnsi="Arial" w:cs="Arial"/>
          <w:lang w:val="en-US"/>
        </w:rPr>
      </w:pPr>
    </w:p>
    <w:p w14:paraId="036C9C9F" w14:textId="6B1E92F5" w:rsidR="00A53E78" w:rsidRPr="00A53E78" w:rsidRDefault="00A53E78" w:rsidP="00A53E78">
      <w:pPr>
        <w:pStyle w:val="CommentText"/>
        <w:jc w:val="both"/>
        <w:rPr>
          <w:rFonts w:ascii="Arial" w:hAnsi="Arial" w:cs="Arial"/>
          <w:lang w:val="en-US"/>
        </w:rPr>
      </w:pPr>
      <w:r w:rsidRPr="00A53E78">
        <w:rPr>
          <w:rFonts w:ascii="Arial" w:hAnsi="Arial" w:cs="Arial"/>
          <w:lang w:val="en-US"/>
        </w:rPr>
        <w:t>Panama Canal, the maritime sector, mining, etc.) that could generate financing for entrepreneurship in micro, small and medium enterprises and community-based organizations; 2) greater possibility of accessing vertical funds from Climate Change Adaptation, Euroclima+, Green Readiness or bilateral and multilateral banks; and/or 3) the PROBLUE multi-donor trust fund of the World Bank, accessed through the MEF.</w:t>
      </w:r>
    </w:p>
    <w:p w14:paraId="1F93F832" w14:textId="77777777" w:rsidR="002B193D" w:rsidRPr="00A53E78" w:rsidRDefault="002B193D" w:rsidP="002B193D">
      <w:pPr>
        <w:jc w:val="both"/>
        <w:rPr>
          <w:rFonts w:ascii="Arial" w:hAnsi="Arial" w:cs="Arial"/>
          <w:b/>
          <w:sz w:val="20"/>
          <w:u w:val="single"/>
        </w:rPr>
      </w:pPr>
    </w:p>
    <w:p w14:paraId="492B4808" w14:textId="77777777" w:rsidR="00384A7F" w:rsidRPr="009B47D7" w:rsidRDefault="00384A7F" w:rsidP="00271548">
      <w:pPr>
        <w:ind w:left="360"/>
        <w:jc w:val="both"/>
        <w:rPr>
          <w:rFonts w:ascii="Arial" w:hAnsi="Arial" w:cs="Arial"/>
          <w:color w:val="000000"/>
          <w:sz w:val="20"/>
          <w:highlight w:val="yellow"/>
          <w:lang w:val="en-US"/>
        </w:rPr>
      </w:pPr>
    </w:p>
    <w:p w14:paraId="1F0DB3AF" w14:textId="77777777" w:rsidR="00631C95" w:rsidRPr="00EE3B3C" w:rsidRDefault="00631C95" w:rsidP="00631C95">
      <w:pPr>
        <w:pStyle w:val="Heading3"/>
        <w:rPr>
          <w:rFonts w:ascii="Arial" w:hAnsi="Arial" w:cs="Arial"/>
          <w:b w:val="0"/>
          <w:bCs w:val="0"/>
          <w:sz w:val="20"/>
          <w:szCs w:val="20"/>
          <w:lang w:val="es-419"/>
        </w:rPr>
      </w:pPr>
      <w:r w:rsidRPr="00EE3B3C">
        <w:rPr>
          <w:rFonts w:ascii="Arial" w:hAnsi="Arial" w:cs="Arial"/>
          <w:bCs w:val="0"/>
          <w:sz w:val="20"/>
          <w:szCs w:val="20"/>
          <w:lang w:val="es-419"/>
        </w:rPr>
        <w:t>2.  FINANCIAL RESOURCES</w:t>
      </w:r>
    </w:p>
    <w:p w14:paraId="6BB31265" w14:textId="77777777" w:rsidR="00631C95" w:rsidRPr="00EE3B3C" w:rsidRDefault="00631C95" w:rsidP="00631C95">
      <w:pPr>
        <w:pStyle w:val="BodyText"/>
        <w:spacing w:before="120"/>
        <w:rPr>
          <w:rFonts w:ascii="Arial" w:hAnsi="Arial" w:cs="Arial"/>
          <w:color w:val="000000"/>
          <w:sz w:val="20"/>
          <w:lang w:val="es-419"/>
        </w:rPr>
      </w:pPr>
    </w:p>
    <w:p w14:paraId="4FD59404" w14:textId="128F443D" w:rsidR="00631C95" w:rsidRPr="00EE3B3C" w:rsidRDefault="00631C95" w:rsidP="00631C95">
      <w:pPr>
        <w:pStyle w:val="BodyText2"/>
        <w:widowControl/>
        <w:numPr>
          <w:ilvl w:val="1"/>
          <w:numId w:val="20"/>
        </w:numPr>
        <w:autoSpaceDE/>
        <w:adjustRightInd/>
        <w:rPr>
          <w:rFonts w:ascii="Arial" w:hAnsi="Arial" w:cs="Arial"/>
          <w:color w:val="000000"/>
          <w:sz w:val="20"/>
        </w:rPr>
      </w:pPr>
      <w:r w:rsidRPr="00EE3B3C">
        <w:rPr>
          <w:rFonts w:ascii="Arial" w:hAnsi="Arial" w:cs="Arial"/>
          <w:color w:val="000000"/>
          <w:sz w:val="20"/>
        </w:rPr>
        <w:t xml:space="preserve">The Engagement Facility a budget for </w:t>
      </w:r>
      <w:r w:rsidRPr="000B3E5C">
        <w:rPr>
          <w:rFonts w:ascii="Arial" w:hAnsi="Arial" w:cs="Arial"/>
          <w:b/>
          <w:bCs/>
          <w:color w:val="000000"/>
          <w:sz w:val="20"/>
        </w:rPr>
        <w:t>2020</w:t>
      </w:r>
      <w:r w:rsidRPr="00EE3B3C">
        <w:rPr>
          <w:rFonts w:ascii="Arial" w:hAnsi="Arial" w:cs="Arial"/>
          <w:color w:val="000000"/>
          <w:sz w:val="20"/>
        </w:rPr>
        <w:t xml:space="preserve"> of USD </w:t>
      </w:r>
      <w:r w:rsidRPr="000B3E5C">
        <w:rPr>
          <w:rFonts w:ascii="Arial" w:hAnsi="Arial" w:cs="Arial"/>
          <w:b/>
          <w:bCs/>
          <w:color w:val="000000"/>
          <w:sz w:val="20"/>
        </w:rPr>
        <w:t>150,000.</w:t>
      </w:r>
    </w:p>
    <w:p w14:paraId="56571FE9" w14:textId="4F9C49E0" w:rsidR="00631C95" w:rsidRPr="00631C95" w:rsidRDefault="00631C95">
      <w:pPr>
        <w:widowControl/>
        <w:rPr>
          <w:rFonts w:ascii="Arial" w:hAnsi="Arial" w:cs="Arial"/>
          <w:sz w:val="20"/>
        </w:rPr>
      </w:pPr>
    </w:p>
    <w:tbl>
      <w:tblPr>
        <w:tblStyle w:val="TableGrid"/>
        <w:tblW w:w="9445" w:type="dxa"/>
        <w:tblLook w:val="04A0" w:firstRow="1" w:lastRow="0" w:firstColumn="1" w:lastColumn="0" w:noHBand="0" w:noVBand="1"/>
      </w:tblPr>
      <w:tblGrid>
        <w:gridCol w:w="4577"/>
        <w:gridCol w:w="1096"/>
        <w:gridCol w:w="3772"/>
      </w:tblGrid>
      <w:tr w:rsidR="00631C95" w:rsidRPr="00477114" w14:paraId="45BBDD4C" w14:textId="77777777" w:rsidTr="00D816B6">
        <w:trPr>
          <w:trHeight w:val="300"/>
        </w:trPr>
        <w:tc>
          <w:tcPr>
            <w:tcW w:w="9445" w:type="dxa"/>
            <w:gridSpan w:val="3"/>
            <w:hideMark/>
          </w:tcPr>
          <w:p w14:paraId="67700A2E" w14:textId="77777777" w:rsidR="00631C95" w:rsidRPr="00631C95" w:rsidRDefault="00631C95" w:rsidP="00D816B6">
            <w:pPr>
              <w:rPr>
                <w:rFonts w:ascii="Arial" w:hAnsi="Arial" w:cs="Arial"/>
                <w:sz w:val="20"/>
                <w:lang w:val="en-US"/>
              </w:rPr>
            </w:pPr>
            <w:r w:rsidRPr="00631C95">
              <w:rPr>
                <w:rFonts w:ascii="Arial" w:hAnsi="Arial" w:cs="Arial"/>
                <w:sz w:val="20"/>
                <w:lang w:val="en-US"/>
              </w:rPr>
              <w:t>Activities and Indicative Budget:</w:t>
            </w:r>
          </w:p>
          <w:p w14:paraId="50436D10" w14:textId="77777777" w:rsidR="00631C95" w:rsidRPr="00631C95" w:rsidRDefault="00631C95" w:rsidP="00D816B6">
            <w:pPr>
              <w:rPr>
                <w:rFonts w:ascii="Arial" w:hAnsi="Arial" w:cs="Arial"/>
                <w:sz w:val="20"/>
                <w:lang w:val="en-US"/>
              </w:rPr>
            </w:pPr>
          </w:p>
        </w:tc>
      </w:tr>
      <w:tr w:rsidR="00631C95" w:rsidRPr="00477114" w14:paraId="4E2F88EA" w14:textId="77777777" w:rsidTr="00D816B6">
        <w:trPr>
          <w:trHeight w:val="300"/>
        </w:trPr>
        <w:tc>
          <w:tcPr>
            <w:tcW w:w="4577" w:type="dxa"/>
            <w:hideMark/>
          </w:tcPr>
          <w:p w14:paraId="53258852" w14:textId="77777777" w:rsidR="00631C95" w:rsidRPr="00631C95" w:rsidRDefault="00631C95" w:rsidP="00D816B6">
            <w:pPr>
              <w:rPr>
                <w:rFonts w:ascii="Arial" w:hAnsi="Arial" w:cs="Arial"/>
                <w:sz w:val="20"/>
                <w:lang w:val="en-US"/>
              </w:rPr>
            </w:pPr>
            <w:r w:rsidRPr="00631C95">
              <w:rPr>
                <w:rFonts w:ascii="Arial" w:hAnsi="Arial" w:cs="Arial"/>
                <w:sz w:val="20"/>
                <w:lang w:val="en-US"/>
              </w:rPr>
              <w:t>Activities</w:t>
            </w:r>
          </w:p>
        </w:tc>
        <w:tc>
          <w:tcPr>
            <w:tcW w:w="1096" w:type="dxa"/>
            <w:hideMark/>
          </w:tcPr>
          <w:p w14:paraId="61EB9837" w14:textId="77777777" w:rsidR="00631C95" w:rsidRPr="00631C95" w:rsidRDefault="00631C95" w:rsidP="00D816B6">
            <w:pPr>
              <w:jc w:val="center"/>
              <w:rPr>
                <w:rFonts w:ascii="Arial" w:hAnsi="Arial" w:cs="Arial"/>
                <w:sz w:val="20"/>
                <w:lang w:val="en-US"/>
              </w:rPr>
            </w:pPr>
            <w:r w:rsidRPr="00631C95">
              <w:rPr>
                <w:rFonts w:ascii="Arial" w:hAnsi="Arial" w:cs="Arial"/>
                <w:sz w:val="20"/>
                <w:lang w:val="en-US"/>
              </w:rPr>
              <w:t>Cost</w:t>
            </w:r>
          </w:p>
        </w:tc>
        <w:tc>
          <w:tcPr>
            <w:tcW w:w="3772" w:type="dxa"/>
            <w:hideMark/>
          </w:tcPr>
          <w:p w14:paraId="263B5B6F" w14:textId="77777777" w:rsidR="00631C95" w:rsidRPr="00631C95" w:rsidRDefault="00631C95" w:rsidP="00D816B6">
            <w:pPr>
              <w:rPr>
                <w:rFonts w:ascii="Arial" w:hAnsi="Arial" w:cs="Arial"/>
                <w:sz w:val="20"/>
                <w:lang w:val="en-US"/>
              </w:rPr>
            </w:pPr>
            <w:r w:rsidRPr="00631C95">
              <w:rPr>
                <w:rFonts w:ascii="Arial" w:hAnsi="Arial" w:cs="Arial"/>
                <w:sz w:val="20"/>
                <w:lang w:val="en-US"/>
              </w:rPr>
              <w:t>Inputs/Indicators</w:t>
            </w:r>
          </w:p>
        </w:tc>
      </w:tr>
      <w:tr w:rsidR="00631C95" w:rsidRPr="00477114" w14:paraId="72F24A3B" w14:textId="77777777" w:rsidTr="00D816B6">
        <w:trPr>
          <w:trHeight w:val="900"/>
        </w:trPr>
        <w:tc>
          <w:tcPr>
            <w:tcW w:w="4577" w:type="dxa"/>
            <w:hideMark/>
          </w:tcPr>
          <w:p w14:paraId="10A45FD0" w14:textId="77777777" w:rsidR="00631C95" w:rsidRPr="00631C95" w:rsidRDefault="00631C95" w:rsidP="00631C95">
            <w:pPr>
              <w:pStyle w:val="ListParagraph"/>
              <w:widowControl/>
              <w:numPr>
                <w:ilvl w:val="0"/>
                <w:numId w:val="27"/>
              </w:numPr>
              <w:contextualSpacing/>
              <w:rPr>
                <w:rFonts w:ascii="Arial" w:hAnsi="Arial" w:cs="Arial"/>
                <w:snapToGrid w:val="0"/>
                <w:sz w:val="20"/>
              </w:rPr>
            </w:pPr>
            <w:r w:rsidRPr="00631C95">
              <w:rPr>
                <w:rFonts w:ascii="Arial" w:hAnsi="Arial" w:cs="Arial"/>
                <w:snapToGrid w:val="0"/>
                <w:sz w:val="20"/>
              </w:rPr>
              <w:t>Co-design among actors a Blue Green Economy Agenda to engage stakeholders for 2020</w:t>
            </w:r>
          </w:p>
          <w:p w14:paraId="0CFC6A22" w14:textId="77777777" w:rsidR="00631C95" w:rsidRPr="00631C95" w:rsidRDefault="00631C95" w:rsidP="00D816B6">
            <w:pPr>
              <w:pStyle w:val="ListParagraph"/>
              <w:ind w:left="465"/>
              <w:rPr>
                <w:rFonts w:ascii="Arial" w:hAnsi="Arial" w:cs="Arial"/>
                <w:snapToGrid w:val="0"/>
                <w:sz w:val="20"/>
              </w:rPr>
            </w:pPr>
          </w:p>
        </w:tc>
        <w:tc>
          <w:tcPr>
            <w:tcW w:w="1096" w:type="dxa"/>
            <w:hideMark/>
          </w:tcPr>
          <w:p w14:paraId="4A805D56" w14:textId="4EC2C0D8" w:rsidR="00631C95" w:rsidRPr="00631C95" w:rsidRDefault="00631C95" w:rsidP="00D816B6">
            <w:pPr>
              <w:jc w:val="right"/>
              <w:rPr>
                <w:rFonts w:ascii="Arial" w:hAnsi="Arial" w:cs="Arial"/>
                <w:sz w:val="20"/>
                <w:lang w:val="en-US"/>
              </w:rPr>
            </w:pPr>
            <w:r>
              <w:rPr>
                <w:rFonts w:ascii="Arial" w:hAnsi="Arial" w:cs="Arial"/>
                <w:sz w:val="20"/>
                <w:lang w:val="en-US"/>
              </w:rPr>
              <w:t>3</w:t>
            </w:r>
            <w:r w:rsidRPr="00631C95">
              <w:rPr>
                <w:rFonts w:ascii="Arial" w:hAnsi="Arial" w:cs="Arial"/>
                <w:sz w:val="20"/>
                <w:lang w:val="en-US"/>
              </w:rPr>
              <w:t>0,000</w:t>
            </w:r>
          </w:p>
        </w:tc>
        <w:tc>
          <w:tcPr>
            <w:tcW w:w="3772" w:type="dxa"/>
            <w:vMerge w:val="restart"/>
            <w:hideMark/>
          </w:tcPr>
          <w:p w14:paraId="398994EB" w14:textId="64DCF6C1" w:rsidR="00631C95" w:rsidRPr="00631C95" w:rsidRDefault="00631C95" w:rsidP="00D816B6">
            <w:pPr>
              <w:rPr>
                <w:rFonts w:ascii="Arial" w:hAnsi="Arial" w:cs="Arial"/>
                <w:sz w:val="20"/>
                <w:lang w:val="en-US"/>
              </w:rPr>
            </w:pPr>
            <w:r w:rsidRPr="00631C95">
              <w:rPr>
                <w:rFonts w:ascii="Arial" w:hAnsi="Arial" w:cs="Arial"/>
                <w:sz w:val="20"/>
                <w:lang w:val="en-US"/>
              </w:rPr>
              <w:t xml:space="preserve">Stakeholders from private sector, academia, civil society, local communities (SESP, and public participation plan):  </w:t>
            </w:r>
          </w:p>
          <w:p w14:paraId="6E22CBB1" w14:textId="77777777" w:rsidR="00631C95" w:rsidRPr="00631C95" w:rsidRDefault="00631C95" w:rsidP="00631C95">
            <w:pPr>
              <w:pStyle w:val="ListParagraph"/>
              <w:widowControl/>
              <w:numPr>
                <w:ilvl w:val="0"/>
                <w:numId w:val="26"/>
              </w:numPr>
              <w:ind w:left="360" w:hanging="360"/>
              <w:contextualSpacing/>
              <w:rPr>
                <w:rFonts w:ascii="Arial" w:hAnsi="Arial" w:cs="Arial"/>
                <w:snapToGrid w:val="0"/>
                <w:sz w:val="20"/>
              </w:rPr>
            </w:pPr>
            <w:r w:rsidRPr="00631C95">
              <w:rPr>
                <w:rFonts w:ascii="Arial" w:hAnsi="Arial" w:cs="Arial"/>
                <w:snapToGrid w:val="0"/>
                <w:sz w:val="20"/>
              </w:rPr>
              <w:t xml:space="preserve">At least 4 exchanges in 2020 (including validation sessions); </w:t>
            </w:r>
          </w:p>
          <w:p w14:paraId="1BFA139D" w14:textId="77777777" w:rsidR="000B3E5C" w:rsidRDefault="00631C95" w:rsidP="00631C95">
            <w:pPr>
              <w:pStyle w:val="ListParagraph"/>
              <w:widowControl/>
              <w:numPr>
                <w:ilvl w:val="0"/>
                <w:numId w:val="26"/>
              </w:numPr>
              <w:ind w:left="360" w:hanging="360"/>
              <w:contextualSpacing/>
              <w:rPr>
                <w:rFonts w:ascii="Arial" w:hAnsi="Arial" w:cs="Arial"/>
                <w:snapToGrid w:val="0"/>
                <w:sz w:val="20"/>
              </w:rPr>
            </w:pPr>
            <w:r w:rsidRPr="00631C95">
              <w:rPr>
                <w:rFonts w:ascii="Arial" w:hAnsi="Arial" w:cs="Arial"/>
                <w:snapToGrid w:val="0"/>
                <w:sz w:val="20"/>
              </w:rPr>
              <w:t>At least 2 workshops</w:t>
            </w:r>
            <w:r w:rsidR="000B3E5C">
              <w:rPr>
                <w:rFonts w:ascii="Arial" w:hAnsi="Arial" w:cs="Arial"/>
                <w:snapToGrid w:val="0"/>
                <w:sz w:val="20"/>
              </w:rPr>
              <w:t xml:space="preserve"> </w:t>
            </w:r>
          </w:p>
          <w:p w14:paraId="47ED3AB7" w14:textId="54CA9036" w:rsidR="00631C95" w:rsidRPr="000B3E5C" w:rsidRDefault="00631C95" w:rsidP="000B3E5C">
            <w:pPr>
              <w:widowControl/>
              <w:contextualSpacing/>
              <w:rPr>
                <w:rFonts w:ascii="Arial" w:hAnsi="Arial" w:cs="Arial"/>
                <w:sz w:val="20"/>
              </w:rPr>
            </w:pPr>
          </w:p>
        </w:tc>
      </w:tr>
      <w:tr w:rsidR="00631C95" w:rsidRPr="00477114" w14:paraId="75CF6EE9" w14:textId="77777777" w:rsidTr="00D816B6">
        <w:trPr>
          <w:trHeight w:val="600"/>
        </w:trPr>
        <w:tc>
          <w:tcPr>
            <w:tcW w:w="4577" w:type="dxa"/>
            <w:hideMark/>
          </w:tcPr>
          <w:p w14:paraId="5416ABC6" w14:textId="77777777" w:rsidR="00631C95" w:rsidRPr="00631C95" w:rsidRDefault="00631C95" w:rsidP="00631C95">
            <w:pPr>
              <w:pStyle w:val="ListParagraph"/>
              <w:widowControl/>
              <w:numPr>
                <w:ilvl w:val="0"/>
                <w:numId w:val="27"/>
              </w:numPr>
              <w:contextualSpacing/>
              <w:rPr>
                <w:rFonts w:ascii="Arial" w:hAnsi="Arial" w:cs="Arial"/>
                <w:snapToGrid w:val="0"/>
                <w:sz w:val="20"/>
              </w:rPr>
            </w:pPr>
            <w:r w:rsidRPr="00631C95">
              <w:rPr>
                <w:rFonts w:ascii="Arial" w:hAnsi="Arial" w:cs="Arial"/>
                <w:snapToGrid w:val="0"/>
                <w:sz w:val="20"/>
              </w:rPr>
              <w:t>Establish a Blue Green Economy Platform with stakeholders (private and public sector)</w:t>
            </w:r>
          </w:p>
          <w:p w14:paraId="04C8ABF7" w14:textId="77777777" w:rsidR="00631C95" w:rsidRPr="00631C95" w:rsidRDefault="00631C95" w:rsidP="00D816B6">
            <w:pPr>
              <w:pStyle w:val="ListParagraph"/>
              <w:ind w:left="465"/>
              <w:rPr>
                <w:rFonts w:ascii="Arial" w:hAnsi="Arial" w:cs="Arial"/>
                <w:snapToGrid w:val="0"/>
                <w:sz w:val="20"/>
              </w:rPr>
            </w:pPr>
          </w:p>
        </w:tc>
        <w:tc>
          <w:tcPr>
            <w:tcW w:w="1096" w:type="dxa"/>
            <w:hideMark/>
          </w:tcPr>
          <w:p w14:paraId="2179DED3" w14:textId="2CD318B0" w:rsidR="00631C95" w:rsidRPr="00631C95" w:rsidRDefault="000B3E5C" w:rsidP="00D816B6">
            <w:pPr>
              <w:jc w:val="right"/>
              <w:rPr>
                <w:rFonts w:ascii="Arial" w:hAnsi="Arial" w:cs="Arial"/>
                <w:sz w:val="20"/>
                <w:lang w:val="en-US"/>
              </w:rPr>
            </w:pPr>
            <w:r>
              <w:rPr>
                <w:rFonts w:ascii="Arial" w:hAnsi="Arial" w:cs="Arial"/>
                <w:sz w:val="20"/>
                <w:lang w:val="en-US"/>
              </w:rPr>
              <w:t>3</w:t>
            </w:r>
            <w:r w:rsidR="00631C95" w:rsidRPr="00631C95">
              <w:rPr>
                <w:rFonts w:ascii="Arial" w:hAnsi="Arial" w:cs="Arial"/>
                <w:sz w:val="20"/>
                <w:lang w:val="en-US"/>
              </w:rPr>
              <w:t>0,000</w:t>
            </w:r>
          </w:p>
        </w:tc>
        <w:tc>
          <w:tcPr>
            <w:tcW w:w="3772" w:type="dxa"/>
            <w:vMerge/>
            <w:hideMark/>
          </w:tcPr>
          <w:p w14:paraId="5B66120D" w14:textId="77777777" w:rsidR="00631C95" w:rsidRPr="00631C95" w:rsidRDefault="00631C95" w:rsidP="00D816B6">
            <w:pPr>
              <w:rPr>
                <w:rFonts w:ascii="Arial" w:hAnsi="Arial" w:cs="Arial"/>
                <w:sz w:val="20"/>
                <w:lang w:val="en-US"/>
              </w:rPr>
            </w:pPr>
          </w:p>
        </w:tc>
      </w:tr>
      <w:tr w:rsidR="000B3E5C" w:rsidRPr="00477114" w14:paraId="1654798D" w14:textId="77777777" w:rsidTr="00D816B6">
        <w:trPr>
          <w:trHeight w:val="600"/>
        </w:trPr>
        <w:tc>
          <w:tcPr>
            <w:tcW w:w="4577" w:type="dxa"/>
          </w:tcPr>
          <w:p w14:paraId="07B6B83C" w14:textId="77777777" w:rsidR="000B3E5C" w:rsidRPr="00631C95" w:rsidRDefault="000B3E5C" w:rsidP="000B3E5C">
            <w:pPr>
              <w:pStyle w:val="ListParagraph"/>
              <w:widowControl/>
              <w:ind w:left="465"/>
              <w:contextualSpacing/>
              <w:rPr>
                <w:rFonts w:ascii="Arial" w:hAnsi="Arial" w:cs="Arial"/>
                <w:snapToGrid w:val="0"/>
                <w:sz w:val="20"/>
              </w:rPr>
            </w:pPr>
          </w:p>
        </w:tc>
        <w:tc>
          <w:tcPr>
            <w:tcW w:w="1096" w:type="dxa"/>
          </w:tcPr>
          <w:p w14:paraId="07C681EF" w14:textId="0AD5C38F" w:rsidR="000B3E5C" w:rsidRDefault="00721472" w:rsidP="00D816B6">
            <w:pPr>
              <w:jc w:val="right"/>
              <w:rPr>
                <w:rFonts w:ascii="Arial" w:hAnsi="Arial" w:cs="Arial"/>
                <w:sz w:val="20"/>
                <w:lang w:val="en-US"/>
              </w:rPr>
            </w:pPr>
            <w:r>
              <w:rPr>
                <w:rFonts w:ascii="Arial" w:hAnsi="Arial" w:cs="Arial"/>
                <w:sz w:val="20"/>
                <w:lang w:val="en-US"/>
              </w:rPr>
              <w:t>9</w:t>
            </w:r>
            <w:r w:rsidR="000B3E5C">
              <w:rPr>
                <w:rFonts w:ascii="Arial" w:hAnsi="Arial" w:cs="Arial"/>
                <w:sz w:val="20"/>
                <w:lang w:val="en-US"/>
              </w:rPr>
              <w:t>,</w:t>
            </w:r>
            <w:r>
              <w:rPr>
                <w:rFonts w:ascii="Arial" w:hAnsi="Arial" w:cs="Arial"/>
                <w:sz w:val="20"/>
                <w:lang w:val="en-US"/>
              </w:rPr>
              <w:t>5</w:t>
            </w:r>
            <w:r w:rsidR="000B3E5C">
              <w:rPr>
                <w:rFonts w:ascii="Arial" w:hAnsi="Arial" w:cs="Arial"/>
                <w:sz w:val="20"/>
                <w:lang w:val="en-US"/>
              </w:rPr>
              <w:t>00</w:t>
            </w:r>
          </w:p>
        </w:tc>
        <w:tc>
          <w:tcPr>
            <w:tcW w:w="3772" w:type="dxa"/>
          </w:tcPr>
          <w:p w14:paraId="657360C6" w14:textId="5B2253A6" w:rsidR="000B3E5C" w:rsidRPr="000B3E5C" w:rsidRDefault="000B3E5C" w:rsidP="000B3E5C">
            <w:pPr>
              <w:pStyle w:val="ListParagraph"/>
              <w:numPr>
                <w:ilvl w:val="0"/>
                <w:numId w:val="26"/>
              </w:numPr>
              <w:ind w:left="331" w:hanging="331"/>
              <w:rPr>
                <w:rFonts w:ascii="Arial" w:hAnsi="Arial" w:cs="Arial"/>
                <w:sz w:val="20"/>
              </w:rPr>
            </w:pPr>
            <w:r w:rsidRPr="000B3E5C">
              <w:rPr>
                <w:rFonts w:ascii="Arial" w:hAnsi="Arial" w:cs="Arial"/>
                <w:snapToGrid w:val="0"/>
                <w:sz w:val="20"/>
              </w:rPr>
              <w:t>Travels</w:t>
            </w:r>
          </w:p>
        </w:tc>
      </w:tr>
      <w:tr w:rsidR="000B3E5C" w:rsidRPr="00477114" w14:paraId="04E0191E" w14:textId="77777777" w:rsidTr="00D816B6">
        <w:trPr>
          <w:trHeight w:val="900"/>
        </w:trPr>
        <w:tc>
          <w:tcPr>
            <w:tcW w:w="4577" w:type="dxa"/>
            <w:hideMark/>
          </w:tcPr>
          <w:p w14:paraId="31DED9F4" w14:textId="77777777" w:rsidR="000B3E5C" w:rsidRPr="00631C95" w:rsidRDefault="000B3E5C" w:rsidP="00631C95">
            <w:pPr>
              <w:pStyle w:val="ListParagraph"/>
              <w:widowControl/>
              <w:numPr>
                <w:ilvl w:val="0"/>
                <w:numId w:val="27"/>
              </w:numPr>
              <w:contextualSpacing/>
              <w:rPr>
                <w:rFonts w:ascii="Arial" w:hAnsi="Arial" w:cs="Arial"/>
                <w:snapToGrid w:val="0"/>
                <w:sz w:val="20"/>
              </w:rPr>
            </w:pPr>
            <w:r w:rsidRPr="00631C95">
              <w:rPr>
                <w:rFonts w:ascii="Arial" w:hAnsi="Arial" w:cs="Arial"/>
                <w:snapToGrid w:val="0"/>
                <w:sz w:val="20"/>
              </w:rPr>
              <w:t>Identify a repository of marine knowledge and make information available for blue green economy stakeholders</w:t>
            </w:r>
          </w:p>
          <w:p w14:paraId="4D5C427A" w14:textId="77777777" w:rsidR="000B3E5C" w:rsidRPr="00631C95" w:rsidRDefault="000B3E5C" w:rsidP="00D816B6">
            <w:pPr>
              <w:pStyle w:val="ListParagraph"/>
              <w:ind w:left="465"/>
              <w:rPr>
                <w:rFonts w:ascii="Arial" w:hAnsi="Arial" w:cs="Arial"/>
                <w:snapToGrid w:val="0"/>
                <w:sz w:val="20"/>
              </w:rPr>
            </w:pPr>
          </w:p>
        </w:tc>
        <w:tc>
          <w:tcPr>
            <w:tcW w:w="1096" w:type="dxa"/>
            <w:vMerge w:val="restart"/>
            <w:hideMark/>
          </w:tcPr>
          <w:p w14:paraId="603B8AF3" w14:textId="77777777" w:rsidR="000B3E5C" w:rsidRDefault="000B3E5C" w:rsidP="00D816B6">
            <w:pPr>
              <w:jc w:val="right"/>
              <w:rPr>
                <w:rFonts w:ascii="Arial" w:hAnsi="Arial" w:cs="Arial"/>
                <w:sz w:val="20"/>
                <w:lang w:val="en-US"/>
              </w:rPr>
            </w:pPr>
          </w:p>
          <w:p w14:paraId="2488A706" w14:textId="25B65DDC" w:rsidR="000B3E5C" w:rsidRPr="00631C95" w:rsidRDefault="000B3E5C" w:rsidP="00D816B6">
            <w:pPr>
              <w:jc w:val="right"/>
              <w:rPr>
                <w:rFonts w:ascii="Arial" w:hAnsi="Arial" w:cs="Arial"/>
                <w:sz w:val="20"/>
                <w:lang w:val="en-US"/>
              </w:rPr>
            </w:pPr>
            <w:r>
              <w:rPr>
                <w:rFonts w:ascii="Arial" w:hAnsi="Arial" w:cs="Arial"/>
                <w:sz w:val="20"/>
                <w:lang w:val="en-US"/>
              </w:rPr>
              <w:t>6</w:t>
            </w:r>
            <w:r w:rsidRPr="00631C95">
              <w:rPr>
                <w:rFonts w:ascii="Arial" w:hAnsi="Arial" w:cs="Arial"/>
                <w:sz w:val="20"/>
                <w:lang w:val="en-US"/>
              </w:rPr>
              <w:t>0,000</w:t>
            </w:r>
          </w:p>
          <w:p w14:paraId="676F1E2E" w14:textId="0EF708D4" w:rsidR="000B3E5C" w:rsidRPr="00631C95" w:rsidRDefault="000B3E5C" w:rsidP="00D816B6">
            <w:pPr>
              <w:jc w:val="right"/>
              <w:rPr>
                <w:rFonts w:ascii="Arial" w:hAnsi="Arial" w:cs="Arial"/>
                <w:sz w:val="20"/>
                <w:lang w:val="en-US"/>
              </w:rPr>
            </w:pPr>
          </w:p>
        </w:tc>
        <w:tc>
          <w:tcPr>
            <w:tcW w:w="3772" w:type="dxa"/>
            <w:vMerge w:val="restart"/>
            <w:hideMark/>
          </w:tcPr>
          <w:p w14:paraId="4856C00D" w14:textId="77777777" w:rsidR="000B3E5C" w:rsidRDefault="000B3E5C" w:rsidP="00D816B6">
            <w:pPr>
              <w:rPr>
                <w:rFonts w:ascii="Arial" w:hAnsi="Arial" w:cs="Arial"/>
                <w:sz w:val="20"/>
                <w:lang w:val="en-US"/>
              </w:rPr>
            </w:pPr>
          </w:p>
          <w:p w14:paraId="608A8765" w14:textId="674E77CC" w:rsidR="000B3E5C" w:rsidRPr="00631C95" w:rsidRDefault="000B3E5C" w:rsidP="00D816B6">
            <w:pPr>
              <w:rPr>
                <w:rFonts w:ascii="Arial" w:hAnsi="Arial" w:cs="Arial"/>
                <w:sz w:val="20"/>
                <w:lang w:val="en-US"/>
              </w:rPr>
            </w:pPr>
            <w:r w:rsidRPr="00631C95">
              <w:rPr>
                <w:rFonts w:ascii="Arial" w:hAnsi="Arial" w:cs="Arial"/>
                <w:sz w:val="20"/>
                <w:lang w:val="en-US"/>
              </w:rPr>
              <w:t>Consultant</w:t>
            </w:r>
          </w:p>
          <w:p w14:paraId="68FA28DE" w14:textId="77777777" w:rsidR="000B3E5C" w:rsidRDefault="000B3E5C" w:rsidP="00D816B6">
            <w:pPr>
              <w:rPr>
                <w:rFonts w:ascii="Arial" w:hAnsi="Arial" w:cs="Arial"/>
                <w:sz w:val="20"/>
                <w:lang w:val="en-US"/>
              </w:rPr>
            </w:pPr>
          </w:p>
          <w:p w14:paraId="5FFEB4B9" w14:textId="77777777" w:rsidR="000B3E5C" w:rsidRDefault="000B3E5C" w:rsidP="00D816B6">
            <w:pPr>
              <w:rPr>
                <w:rFonts w:ascii="Arial" w:hAnsi="Arial" w:cs="Arial"/>
                <w:sz w:val="20"/>
                <w:lang w:val="en-US"/>
              </w:rPr>
            </w:pPr>
          </w:p>
          <w:p w14:paraId="2CE5BF13" w14:textId="43127EA0" w:rsidR="000B3E5C" w:rsidRPr="00631C95" w:rsidRDefault="000B3E5C" w:rsidP="00D816B6">
            <w:pPr>
              <w:rPr>
                <w:rFonts w:ascii="Arial" w:hAnsi="Arial" w:cs="Arial"/>
                <w:sz w:val="20"/>
                <w:lang w:val="en-US"/>
              </w:rPr>
            </w:pPr>
          </w:p>
        </w:tc>
      </w:tr>
      <w:tr w:rsidR="000B3E5C" w:rsidRPr="00477114" w14:paraId="2FE84091" w14:textId="77777777" w:rsidTr="000B3E5C">
        <w:trPr>
          <w:trHeight w:val="600"/>
        </w:trPr>
        <w:tc>
          <w:tcPr>
            <w:tcW w:w="4577" w:type="dxa"/>
            <w:hideMark/>
          </w:tcPr>
          <w:p w14:paraId="243045E1" w14:textId="77777777" w:rsidR="000B3E5C" w:rsidRPr="00631C95" w:rsidRDefault="000B3E5C" w:rsidP="00631C95">
            <w:pPr>
              <w:pStyle w:val="ListParagraph"/>
              <w:widowControl/>
              <w:numPr>
                <w:ilvl w:val="0"/>
                <w:numId w:val="27"/>
              </w:numPr>
              <w:contextualSpacing/>
              <w:rPr>
                <w:rFonts w:ascii="Arial" w:hAnsi="Arial" w:cs="Arial"/>
                <w:snapToGrid w:val="0"/>
                <w:sz w:val="20"/>
              </w:rPr>
            </w:pPr>
            <w:r w:rsidRPr="00631C95">
              <w:rPr>
                <w:rFonts w:ascii="Arial" w:hAnsi="Arial" w:cs="Arial"/>
                <w:snapToGrid w:val="0"/>
                <w:sz w:val="20"/>
              </w:rPr>
              <w:t>Prioritize blue green growth in the marine and maritime sectors and incorporate innovation</w:t>
            </w:r>
          </w:p>
          <w:p w14:paraId="6AF58222" w14:textId="77777777" w:rsidR="000B3E5C" w:rsidRPr="00631C95" w:rsidRDefault="000B3E5C" w:rsidP="00D816B6">
            <w:pPr>
              <w:pStyle w:val="ListParagraph"/>
              <w:ind w:left="465"/>
              <w:rPr>
                <w:rFonts w:ascii="Arial" w:hAnsi="Arial" w:cs="Arial"/>
                <w:snapToGrid w:val="0"/>
                <w:sz w:val="20"/>
              </w:rPr>
            </w:pPr>
          </w:p>
        </w:tc>
        <w:tc>
          <w:tcPr>
            <w:tcW w:w="1096" w:type="dxa"/>
            <w:vMerge/>
          </w:tcPr>
          <w:p w14:paraId="678E316F" w14:textId="3E28210C" w:rsidR="000B3E5C" w:rsidRPr="00631C95" w:rsidRDefault="000B3E5C" w:rsidP="00D816B6">
            <w:pPr>
              <w:jc w:val="right"/>
              <w:rPr>
                <w:rFonts w:ascii="Arial" w:hAnsi="Arial" w:cs="Arial"/>
                <w:sz w:val="20"/>
                <w:lang w:val="en-US"/>
              </w:rPr>
            </w:pPr>
          </w:p>
        </w:tc>
        <w:tc>
          <w:tcPr>
            <w:tcW w:w="3772" w:type="dxa"/>
            <w:vMerge/>
          </w:tcPr>
          <w:p w14:paraId="550B5C7E" w14:textId="13A29DC0" w:rsidR="000B3E5C" w:rsidRPr="00631C95" w:rsidRDefault="000B3E5C" w:rsidP="00D816B6">
            <w:pPr>
              <w:rPr>
                <w:rFonts w:ascii="Arial" w:hAnsi="Arial" w:cs="Arial"/>
                <w:sz w:val="20"/>
                <w:lang w:val="en-US"/>
              </w:rPr>
            </w:pPr>
          </w:p>
        </w:tc>
      </w:tr>
      <w:tr w:rsidR="000B3E5C" w:rsidRPr="00477114" w14:paraId="3E2AB67E" w14:textId="77777777" w:rsidTr="00D816B6">
        <w:trPr>
          <w:trHeight w:val="900"/>
        </w:trPr>
        <w:tc>
          <w:tcPr>
            <w:tcW w:w="4577" w:type="dxa"/>
            <w:hideMark/>
          </w:tcPr>
          <w:p w14:paraId="7C01B8A3" w14:textId="77777777" w:rsidR="000B3E5C" w:rsidRPr="00631C95" w:rsidRDefault="000B3E5C" w:rsidP="00631C95">
            <w:pPr>
              <w:pStyle w:val="ListParagraph"/>
              <w:widowControl/>
              <w:numPr>
                <w:ilvl w:val="0"/>
                <w:numId w:val="27"/>
              </w:numPr>
              <w:contextualSpacing/>
              <w:rPr>
                <w:rFonts w:ascii="Arial" w:hAnsi="Arial" w:cs="Arial"/>
                <w:snapToGrid w:val="0"/>
                <w:sz w:val="20"/>
              </w:rPr>
            </w:pPr>
            <w:r w:rsidRPr="00631C95">
              <w:rPr>
                <w:rFonts w:ascii="Arial" w:hAnsi="Arial" w:cs="Arial"/>
                <w:snapToGrid w:val="0"/>
                <w:sz w:val="20"/>
              </w:rPr>
              <w:t>Identify priorities for innovative financing instruments for blue green economy, including aspects for bankability</w:t>
            </w:r>
          </w:p>
        </w:tc>
        <w:tc>
          <w:tcPr>
            <w:tcW w:w="1096" w:type="dxa"/>
            <w:vMerge/>
            <w:hideMark/>
          </w:tcPr>
          <w:p w14:paraId="69154DBB" w14:textId="18D1E058" w:rsidR="000B3E5C" w:rsidRPr="00631C95" w:rsidRDefault="000B3E5C" w:rsidP="00D816B6">
            <w:pPr>
              <w:jc w:val="right"/>
              <w:rPr>
                <w:rFonts w:ascii="Arial" w:hAnsi="Arial" w:cs="Arial"/>
                <w:sz w:val="20"/>
                <w:lang w:val="en-US"/>
              </w:rPr>
            </w:pPr>
          </w:p>
        </w:tc>
        <w:tc>
          <w:tcPr>
            <w:tcW w:w="3772" w:type="dxa"/>
            <w:vMerge/>
            <w:hideMark/>
          </w:tcPr>
          <w:p w14:paraId="7153FD56" w14:textId="1151F547" w:rsidR="000B3E5C" w:rsidRPr="00631C95" w:rsidRDefault="000B3E5C" w:rsidP="00D816B6">
            <w:pPr>
              <w:rPr>
                <w:rFonts w:ascii="Arial" w:hAnsi="Arial" w:cs="Arial"/>
                <w:sz w:val="20"/>
                <w:lang w:val="en-US"/>
              </w:rPr>
            </w:pPr>
          </w:p>
        </w:tc>
      </w:tr>
      <w:tr w:rsidR="000B3E5C" w:rsidRPr="00477114" w14:paraId="70D20DB1" w14:textId="77777777" w:rsidTr="00D816B6">
        <w:trPr>
          <w:trHeight w:val="300"/>
        </w:trPr>
        <w:tc>
          <w:tcPr>
            <w:tcW w:w="4577" w:type="dxa"/>
            <w:hideMark/>
          </w:tcPr>
          <w:p w14:paraId="07A7C922" w14:textId="77777777" w:rsidR="000B3E5C" w:rsidRPr="00631C95" w:rsidRDefault="000B3E5C" w:rsidP="00631C95">
            <w:pPr>
              <w:pStyle w:val="ListParagraph"/>
              <w:widowControl/>
              <w:numPr>
                <w:ilvl w:val="0"/>
                <w:numId w:val="27"/>
              </w:numPr>
              <w:contextualSpacing/>
              <w:rPr>
                <w:rFonts w:ascii="Arial" w:hAnsi="Arial" w:cs="Arial"/>
                <w:snapToGrid w:val="0"/>
                <w:sz w:val="20"/>
              </w:rPr>
            </w:pPr>
            <w:r w:rsidRPr="00631C95">
              <w:rPr>
                <w:rFonts w:ascii="Arial" w:hAnsi="Arial" w:cs="Arial"/>
                <w:snapToGrid w:val="0"/>
                <w:sz w:val="20"/>
              </w:rPr>
              <w:t xml:space="preserve">Co-design with the actors a ‘Blue Green Process’ based on above steps </w:t>
            </w:r>
          </w:p>
          <w:p w14:paraId="4ADBCA29" w14:textId="77777777" w:rsidR="000B3E5C" w:rsidRPr="00631C95" w:rsidRDefault="000B3E5C" w:rsidP="00D816B6">
            <w:pPr>
              <w:pStyle w:val="ListParagraph"/>
              <w:ind w:left="465"/>
              <w:rPr>
                <w:rFonts w:ascii="Arial" w:hAnsi="Arial" w:cs="Arial"/>
                <w:snapToGrid w:val="0"/>
                <w:sz w:val="20"/>
              </w:rPr>
            </w:pPr>
          </w:p>
        </w:tc>
        <w:tc>
          <w:tcPr>
            <w:tcW w:w="1096" w:type="dxa"/>
            <w:vMerge/>
            <w:hideMark/>
          </w:tcPr>
          <w:p w14:paraId="6CE75232" w14:textId="5C489BDA" w:rsidR="000B3E5C" w:rsidRPr="00631C95" w:rsidRDefault="000B3E5C" w:rsidP="00D816B6">
            <w:pPr>
              <w:jc w:val="right"/>
              <w:rPr>
                <w:rFonts w:ascii="Arial" w:hAnsi="Arial" w:cs="Arial"/>
                <w:sz w:val="20"/>
                <w:lang w:val="en-US"/>
              </w:rPr>
            </w:pPr>
          </w:p>
        </w:tc>
        <w:tc>
          <w:tcPr>
            <w:tcW w:w="3772" w:type="dxa"/>
            <w:vMerge/>
            <w:hideMark/>
          </w:tcPr>
          <w:p w14:paraId="01493710" w14:textId="5A934A0B" w:rsidR="000B3E5C" w:rsidRPr="00631C95" w:rsidRDefault="000B3E5C" w:rsidP="00D816B6">
            <w:pPr>
              <w:rPr>
                <w:rFonts w:ascii="Arial" w:hAnsi="Arial" w:cs="Arial"/>
                <w:sz w:val="20"/>
                <w:lang w:val="en-US"/>
              </w:rPr>
            </w:pPr>
          </w:p>
        </w:tc>
      </w:tr>
      <w:tr w:rsidR="000B3E5C" w:rsidRPr="00477114" w14:paraId="43CC54F9" w14:textId="77777777" w:rsidTr="00D816B6">
        <w:trPr>
          <w:trHeight w:val="1200"/>
        </w:trPr>
        <w:tc>
          <w:tcPr>
            <w:tcW w:w="4577" w:type="dxa"/>
            <w:hideMark/>
          </w:tcPr>
          <w:p w14:paraId="456437F0" w14:textId="77777777" w:rsidR="000B3E5C" w:rsidRPr="00631C95" w:rsidRDefault="000B3E5C" w:rsidP="00631C95">
            <w:pPr>
              <w:pStyle w:val="ListParagraph"/>
              <w:widowControl/>
              <w:numPr>
                <w:ilvl w:val="0"/>
                <w:numId w:val="27"/>
              </w:numPr>
              <w:contextualSpacing/>
              <w:rPr>
                <w:rFonts w:ascii="Arial" w:hAnsi="Arial" w:cs="Arial"/>
                <w:snapToGrid w:val="0"/>
                <w:sz w:val="20"/>
              </w:rPr>
            </w:pPr>
            <w:r w:rsidRPr="00631C95">
              <w:rPr>
                <w:rFonts w:ascii="Arial" w:hAnsi="Arial" w:cs="Arial"/>
                <w:snapToGrid w:val="0"/>
                <w:sz w:val="20"/>
              </w:rPr>
              <w:t>Co-design with the actors and support the government to include within the Oceans National Policy a Blue Green Economy Strategy for Panama that considers national and local levels</w:t>
            </w:r>
          </w:p>
          <w:p w14:paraId="30C2C223" w14:textId="77777777" w:rsidR="000B3E5C" w:rsidRPr="00631C95" w:rsidRDefault="000B3E5C" w:rsidP="00D816B6">
            <w:pPr>
              <w:rPr>
                <w:rFonts w:ascii="Arial" w:hAnsi="Arial" w:cs="Arial"/>
                <w:sz w:val="20"/>
                <w:lang w:val="en-US"/>
              </w:rPr>
            </w:pPr>
          </w:p>
        </w:tc>
        <w:tc>
          <w:tcPr>
            <w:tcW w:w="1096" w:type="dxa"/>
            <w:vMerge/>
            <w:hideMark/>
          </w:tcPr>
          <w:p w14:paraId="3A9E8B49" w14:textId="29B4FC0E" w:rsidR="000B3E5C" w:rsidRPr="00631C95" w:rsidRDefault="000B3E5C" w:rsidP="00D816B6">
            <w:pPr>
              <w:jc w:val="right"/>
              <w:rPr>
                <w:rFonts w:ascii="Arial" w:hAnsi="Arial" w:cs="Arial"/>
                <w:sz w:val="20"/>
                <w:lang w:val="en-US"/>
              </w:rPr>
            </w:pPr>
          </w:p>
        </w:tc>
        <w:tc>
          <w:tcPr>
            <w:tcW w:w="3772" w:type="dxa"/>
            <w:vMerge/>
            <w:hideMark/>
          </w:tcPr>
          <w:p w14:paraId="6F524FCD" w14:textId="77777777" w:rsidR="000B3E5C" w:rsidRPr="00631C95" w:rsidRDefault="000B3E5C" w:rsidP="00D816B6">
            <w:pPr>
              <w:rPr>
                <w:rFonts w:ascii="Arial" w:hAnsi="Arial" w:cs="Arial"/>
                <w:sz w:val="20"/>
                <w:lang w:val="en-US"/>
              </w:rPr>
            </w:pPr>
          </w:p>
        </w:tc>
      </w:tr>
      <w:tr w:rsidR="00631C95" w:rsidRPr="00477114" w14:paraId="2C3B7F84" w14:textId="77777777" w:rsidTr="00D816B6">
        <w:trPr>
          <w:trHeight w:val="600"/>
        </w:trPr>
        <w:tc>
          <w:tcPr>
            <w:tcW w:w="4577" w:type="dxa"/>
            <w:hideMark/>
          </w:tcPr>
          <w:p w14:paraId="10E4A4B5" w14:textId="77777777" w:rsidR="00631C95" w:rsidRPr="00631C95" w:rsidRDefault="00631C95" w:rsidP="00631C95">
            <w:pPr>
              <w:pStyle w:val="ListParagraph"/>
              <w:widowControl/>
              <w:numPr>
                <w:ilvl w:val="0"/>
                <w:numId w:val="27"/>
              </w:numPr>
              <w:contextualSpacing/>
              <w:rPr>
                <w:rFonts w:ascii="Arial" w:hAnsi="Arial" w:cs="Arial"/>
                <w:snapToGrid w:val="0"/>
                <w:sz w:val="20"/>
              </w:rPr>
            </w:pPr>
            <w:r w:rsidRPr="00631C95">
              <w:rPr>
                <w:rFonts w:ascii="Arial" w:hAnsi="Arial" w:cs="Arial"/>
                <w:snapToGrid w:val="0"/>
                <w:sz w:val="20"/>
              </w:rPr>
              <w:t>Communication strategy implementation for public advocacy, thematic positioning</w:t>
            </w:r>
          </w:p>
          <w:p w14:paraId="2E8F7BD6" w14:textId="77777777" w:rsidR="00631C95" w:rsidRPr="00631C95" w:rsidRDefault="00631C95" w:rsidP="00D816B6">
            <w:pPr>
              <w:rPr>
                <w:rFonts w:ascii="Arial" w:hAnsi="Arial" w:cs="Arial"/>
                <w:sz w:val="20"/>
                <w:lang w:val="en-US"/>
              </w:rPr>
            </w:pPr>
          </w:p>
        </w:tc>
        <w:tc>
          <w:tcPr>
            <w:tcW w:w="1096" w:type="dxa"/>
            <w:hideMark/>
          </w:tcPr>
          <w:p w14:paraId="518E908A" w14:textId="6933A9AE" w:rsidR="00631C95" w:rsidRPr="00631C95" w:rsidRDefault="00631C95" w:rsidP="00D816B6">
            <w:pPr>
              <w:jc w:val="right"/>
              <w:rPr>
                <w:rFonts w:ascii="Arial" w:hAnsi="Arial" w:cs="Arial"/>
                <w:sz w:val="20"/>
                <w:lang w:val="en-US"/>
              </w:rPr>
            </w:pPr>
            <w:r>
              <w:rPr>
                <w:rFonts w:ascii="Arial" w:hAnsi="Arial" w:cs="Arial"/>
                <w:sz w:val="20"/>
                <w:lang w:val="en-US"/>
              </w:rPr>
              <w:t>20</w:t>
            </w:r>
            <w:r w:rsidRPr="00631C95">
              <w:rPr>
                <w:rFonts w:ascii="Arial" w:hAnsi="Arial" w:cs="Arial"/>
                <w:sz w:val="20"/>
                <w:lang w:val="en-US"/>
              </w:rPr>
              <w:t>,000</w:t>
            </w:r>
          </w:p>
        </w:tc>
        <w:tc>
          <w:tcPr>
            <w:tcW w:w="3772" w:type="dxa"/>
            <w:hideMark/>
          </w:tcPr>
          <w:p w14:paraId="654BE921" w14:textId="79105CCC" w:rsidR="00631C95" w:rsidRPr="00631C95" w:rsidRDefault="00631C95" w:rsidP="00D816B6">
            <w:pPr>
              <w:rPr>
                <w:rFonts w:ascii="Arial" w:hAnsi="Arial" w:cs="Arial"/>
                <w:sz w:val="20"/>
                <w:lang w:val="en-US"/>
              </w:rPr>
            </w:pPr>
            <w:r w:rsidRPr="00631C95">
              <w:rPr>
                <w:rFonts w:ascii="Arial" w:hAnsi="Arial" w:cs="Arial"/>
                <w:sz w:val="20"/>
                <w:lang w:val="en-US"/>
              </w:rPr>
              <w:t>Consultan</w:t>
            </w:r>
            <w:r>
              <w:rPr>
                <w:rFonts w:ascii="Arial" w:hAnsi="Arial" w:cs="Arial"/>
                <w:sz w:val="20"/>
                <w:lang w:val="en-US"/>
              </w:rPr>
              <w:t>cy firm</w:t>
            </w:r>
          </w:p>
        </w:tc>
      </w:tr>
      <w:tr w:rsidR="00721472" w:rsidRPr="00477114" w14:paraId="57ADD4EA" w14:textId="77777777" w:rsidTr="00D816B6">
        <w:trPr>
          <w:trHeight w:val="600"/>
        </w:trPr>
        <w:tc>
          <w:tcPr>
            <w:tcW w:w="4577" w:type="dxa"/>
          </w:tcPr>
          <w:p w14:paraId="70BDA639" w14:textId="558B555B" w:rsidR="00721472" w:rsidRPr="00631C95" w:rsidRDefault="00721472" w:rsidP="00631C95">
            <w:pPr>
              <w:pStyle w:val="ListParagraph"/>
              <w:widowControl/>
              <w:numPr>
                <w:ilvl w:val="0"/>
                <w:numId w:val="27"/>
              </w:numPr>
              <w:contextualSpacing/>
              <w:rPr>
                <w:rFonts w:ascii="Arial" w:hAnsi="Arial" w:cs="Arial"/>
                <w:snapToGrid w:val="0"/>
                <w:sz w:val="20"/>
              </w:rPr>
            </w:pPr>
            <w:r>
              <w:rPr>
                <w:rFonts w:ascii="Arial" w:hAnsi="Arial" w:cs="Arial"/>
                <w:snapToGrid w:val="0"/>
                <w:sz w:val="20"/>
              </w:rPr>
              <w:t>Monitoring</w:t>
            </w:r>
          </w:p>
        </w:tc>
        <w:tc>
          <w:tcPr>
            <w:tcW w:w="1096" w:type="dxa"/>
          </w:tcPr>
          <w:p w14:paraId="369EDA09" w14:textId="373AB9AC" w:rsidR="00721472" w:rsidRDefault="00721472" w:rsidP="00D816B6">
            <w:pPr>
              <w:jc w:val="right"/>
              <w:rPr>
                <w:rFonts w:ascii="Arial" w:hAnsi="Arial" w:cs="Arial"/>
                <w:sz w:val="20"/>
                <w:lang w:val="en-US"/>
              </w:rPr>
            </w:pPr>
            <w:r>
              <w:rPr>
                <w:rFonts w:ascii="Arial" w:hAnsi="Arial" w:cs="Arial"/>
                <w:sz w:val="20"/>
                <w:lang w:val="en-US"/>
              </w:rPr>
              <w:t>500.00</w:t>
            </w:r>
          </w:p>
        </w:tc>
        <w:tc>
          <w:tcPr>
            <w:tcW w:w="3772" w:type="dxa"/>
          </w:tcPr>
          <w:p w14:paraId="071F5288" w14:textId="56726371" w:rsidR="00721472" w:rsidRPr="00631C95" w:rsidRDefault="00721472" w:rsidP="00D816B6">
            <w:pPr>
              <w:rPr>
                <w:rFonts w:ascii="Arial" w:hAnsi="Arial" w:cs="Arial"/>
                <w:sz w:val="20"/>
                <w:lang w:val="en-US"/>
              </w:rPr>
            </w:pPr>
            <w:r>
              <w:rPr>
                <w:rFonts w:ascii="Arial" w:hAnsi="Arial" w:cs="Arial"/>
                <w:sz w:val="20"/>
                <w:lang w:val="en-US"/>
              </w:rPr>
              <w:t xml:space="preserve">Supplies and M&amp;E </w:t>
            </w:r>
            <w:r w:rsidR="004C695C">
              <w:rPr>
                <w:rFonts w:ascii="Arial" w:hAnsi="Arial" w:cs="Arial"/>
                <w:sz w:val="20"/>
                <w:lang w:val="en-US"/>
              </w:rPr>
              <w:t>miscellaneous</w:t>
            </w:r>
          </w:p>
        </w:tc>
      </w:tr>
      <w:tr w:rsidR="00631C95" w:rsidRPr="00477114" w14:paraId="1EE5A79A" w14:textId="77777777" w:rsidTr="00BE33EB">
        <w:trPr>
          <w:trHeight w:val="300"/>
        </w:trPr>
        <w:tc>
          <w:tcPr>
            <w:tcW w:w="4577" w:type="dxa"/>
            <w:hideMark/>
          </w:tcPr>
          <w:p w14:paraId="0197AD58" w14:textId="77777777" w:rsidR="00631C95" w:rsidRPr="00631C95" w:rsidRDefault="00631C95" w:rsidP="00D816B6">
            <w:pPr>
              <w:rPr>
                <w:rFonts w:ascii="Arial" w:hAnsi="Arial" w:cs="Arial"/>
                <w:sz w:val="20"/>
                <w:lang w:val="en-US"/>
              </w:rPr>
            </w:pPr>
            <w:r w:rsidRPr="00631C95">
              <w:rPr>
                <w:rFonts w:ascii="Arial" w:hAnsi="Arial" w:cs="Arial"/>
                <w:sz w:val="20"/>
                <w:lang w:val="en-US"/>
              </w:rPr>
              <w:t>Sub-total</w:t>
            </w:r>
          </w:p>
        </w:tc>
        <w:tc>
          <w:tcPr>
            <w:tcW w:w="1096" w:type="dxa"/>
            <w:hideMark/>
          </w:tcPr>
          <w:p w14:paraId="32E1B9E6" w14:textId="5C92B1E8" w:rsidR="00631C95" w:rsidRPr="00631C95" w:rsidRDefault="00631C95" w:rsidP="00D816B6">
            <w:pPr>
              <w:jc w:val="right"/>
              <w:rPr>
                <w:rFonts w:ascii="Arial" w:hAnsi="Arial" w:cs="Arial"/>
                <w:sz w:val="20"/>
                <w:lang w:val="en-US"/>
              </w:rPr>
            </w:pPr>
            <w:r w:rsidRPr="00631C95">
              <w:rPr>
                <w:rFonts w:ascii="Arial" w:hAnsi="Arial" w:cs="Arial"/>
                <w:sz w:val="20"/>
                <w:lang w:val="en-US"/>
              </w:rPr>
              <w:t>1</w:t>
            </w:r>
            <w:r>
              <w:rPr>
                <w:rFonts w:ascii="Arial" w:hAnsi="Arial" w:cs="Arial"/>
                <w:sz w:val="20"/>
                <w:lang w:val="en-US"/>
              </w:rPr>
              <w:t>5</w:t>
            </w:r>
            <w:r w:rsidRPr="00631C95">
              <w:rPr>
                <w:rFonts w:ascii="Arial" w:hAnsi="Arial" w:cs="Arial"/>
                <w:sz w:val="20"/>
                <w:lang w:val="en-US"/>
              </w:rPr>
              <w:t>0,000</w:t>
            </w:r>
          </w:p>
        </w:tc>
        <w:tc>
          <w:tcPr>
            <w:tcW w:w="3772" w:type="dxa"/>
          </w:tcPr>
          <w:p w14:paraId="18A5777D" w14:textId="0B0DFB43" w:rsidR="00631C95" w:rsidRPr="00631C95" w:rsidRDefault="00631C95" w:rsidP="00D816B6">
            <w:pPr>
              <w:rPr>
                <w:rFonts w:ascii="Arial" w:hAnsi="Arial" w:cs="Arial"/>
                <w:sz w:val="20"/>
                <w:lang w:val="en-US"/>
              </w:rPr>
            </w:pPr>
          </w:p>
        </w:tc>
      </w:tr>
      <w:tr w:rsidR="00631C95" w:rsidRPr="00477114" w14:paraId="6CE8FD12" w14:textId="77777777" w:rsidTr="00BE33EB">
        <w:trPr>
          <w:trHeight w:val="300"/>
        </w:trPr>
        <w:tc>
          <w:tcPr>
            <w:tcW w:w="4577" w:type="dxa"/>
            <w:hideMark/>
          </w:tcPr>
          <w:p w14:paraId="6B5B8F14" w14:textId="77777777" w:rsidR="00631C95" w:rsidRPr="00631C95" w:rsidRDefault="00631C95" w:rsidP="00D816B6">
            <w:pPr>
              <w:rPr>
                <w:rFonts w:ascii="Arial" w:hAnsi="Arial" w:cs="Arial"/>
                <w:sz w:val="20"/>
                <w:lang w:val="en-US"/>
              </w:rPr>
            </w:pPr>
            <w:r w:rsidRPr="00631C95">
              <w:rPr>
                <w:rFonts w:ascii="Arial" w:hAnsi="Arial" w:cs="Arial"/>
                <w:sz w:val="20"/>
                <w:lang w:val="en-US"/>
              </w:rPr>
              <w:t>Total</w:t>
            </w:r>
          </w:p>
        </w:tc>
        <w:tc>
          <w:tcPr>
            <w:tcW w:w="1096" w:type="dxa"/>
            <w:hideMark/>
          </w:tcPr>
          <w:p w14:paraId="328CE971" w14:textId="17C2D4E7" w:rsidR="00631C95" w:rsidRPr="00631C95" w:rsidRDefault="00631C95" w:rsidP="00D816B6">
            <w:pPr>
              <w:jc w:val="right"/>
              <w:rPr>
                <w:rFonts w:ascii="Arial" w:hAnsi="Arial" w:cs="Arial"/>
                <w:sz w:val="20"/>
                <w:lang w:val="en-US"/>
              </w:rPr>
            </w:pPr>
            <w:r w:rsidRPr="00631C95">
              <w:rPr>
                <w:rFonts w:ascii="Arial" w:hAnsi="Arial" w:cs="Arial"/>
                <w:sz w:val="20"/>
                <w:lang w:val="en-US"/>
              </w:rPr>
              <w:t> 1</w:t>
            </w:r>
            <w:r>
              <w:rPr>
                <w:rFonts w:ascii="Arial" w:hAnsi="Arial" w:cs="Arial"/>
                <w:sz w:val="20"/>
                <w:lang w:val="en-US"/>
              </w:rPr>
              <w:t>5</w:t>
            </w:r>
            <w:r w:rsidRPr="00631C95">
              <w:rPr>
                <w:rFonts w:ascii="Arial" w:hAnsi="Arial" w:cs="Arial"/>
                <w:sz w:val="20"/>
                <w:lang w:val="en-US"/>
              </w:rPr>
              <w:t>0,000</w:t>
            </w:r>
          </w:p>
        </w:tc>
        <w:tc>
          <w:tcPr>
            <w:tcW w:w="3772" w:type="dxa"/>
          </w:tcPr>
          <w:p w14:paraId="62E456F6" w14:textId="77777777" w:rsidR="00631C95" w:rsidRPr="00631C95" w:rsidRDefault="00631C95" w:rsidP="00D816B6">
            <w:pPr>
              <w:rPr>
                <w:rFonts w:ascii="Arial" w:hAnsi="Arial" w:cs="Arial"/>
                <w:sz w:val="20"/>
                <w:lang w:val="en-US"/>
              </w:rPr>
            </w:pPr>
          </w:p>
        </w:tc>
      </w:tr>
    </w:tbl>
    <w:p w14:paraId="4B14F795" w14:textId="01C1095E" w:rsidR="00994E64" w:rsidRPr="00631C95" w:rsidRDefault="00631C95">
      <w:pPr>
        <w:widowControl/>
        <w:rPr>
          <w:rFonts w:ascii="Arial" w:hAnsi="Arial" w:cs="Arial"/>
          <w:sz w:val="20"/>
          <w:lang w:val="en-US"/>
        </w:rPr>
      </w:pPr>
      <w:r w:rsidRPr="00631C95">
        <w:rPr>
          <w:rFonts w:ascii="Arial" w:hAnsi="Arial" w:cs="Arial"/>
          <w:sz w:val="20"/>
          <w:lang w:val="en-US"/>
        </w:rPr>
        <w:t xml:space="preserve">*Reviewed </w:t>
      </w:r>
      <w:r>
        <w:rPr>
          <w:rFonts w:ascii="Arial" w:hAnsi="Arial" w:cs="Arial"/>
          <w:sz w:val="20"/>
          <w:lang w:val="en-US"/>
        </w:rPr>
        <w:t>b</w:t>
      </w:r>
      <w:r w:rsidRPr="00631C95">
        <w:rPr>
          <w:rFonts w:ascii="Arial" w:hAnsi="Arial" w:cs="Arial"/>
          <w:sz w:val="20"/>
          <w:lang w:val="en-US"/>
        </w:rPr>
        <w:t xml:space="preserve">udget </w:t>
      </w:r>
      <w:r>
        <w:rPr>
          <w:rFonts w:ascii="Arial" w:hAnsi="Arial" w:cs="Arial"/>
          <w:sz w:val="20"/>
          <w:lang w:val="en-US"/>
        </w:rPr>
        <w:t xml:space="preserve">total </w:t>
      </w:r>
      <w:r w:rsidRPr="00631C95">
        <w:rPr>
          <w:rFonts w:ascii="Arial" w:hAnsi="Arial" w:cs="Arial"/>
          <w:sz w:val="20"/>
          <w:lang w:val="en-US"/>
        </w:rPr>
        <w:t>based on t</w:t>
      </w:r>
      <w:r>
        <w:rPr>
          <w:rFonts w:ascii="Arial" w:hAnsi="Arial" w:cs="Arial"/>
          <w:sz w:val="20"/>
          <w:lang w:val="en-US"/>
        </w:rPr>
        <w:t>he initiative approval received.</w:t>
      </w:r>
    </w:p>
    <w:p w14:paraId="2C694381" w14:textId="44005229" w:rsidR="00BE33EB" w:rsidRDefault="00BE33EB">
      <w:pPr>
        <w:widowControl/>
        <w:rPr>
          <w:rFonts w:ascii="Arial" w:hAnsi="Arial" w:cs="Arial"/>
          <w:sz w:val="20"/>
          <w:lang w:val="en-US"/>
        </w:rPr>
      </w:pPr>
      <w:r>
        <w:rPr>
          <w:rFonts w:ascii="Arial" w:hAnsi="Arial" w:cs="Arial"/>
          <w:sz w:val="20"/>
          <w:lang w:val="en-US"/>
        </w:rPr>
        <w:br w:type="page"/>
      </w:r>
    </w:p>
    <w:p w14:paraId="5B5CC523" w14:textId="77777777" w:rsidR="003D073A" w:rsidRPr="00631C95" w:rsidRDefault="003D073A" w:rsidP="003D073A">
      <w:pPr>
        <w:pStyle w:val="BodyText"/>
        <w:rPr>
          <w:rFonts w:ascii="Arial" w:hAnsi="Arial" w:cs="Arial"/>
          <w:sz w:val="20"/>
          <w:lang w:val="en-US"/>
        </w:rPr>
      </w:pPr>
    </w:p>
    <w:p w14:paraId="17413C24" w14:textId="77777777" w:rsidR="00BE33EB" w:rsidRDefault="00BE33EB" w:rsidP="00BE33EB"/>
    <w:p w14:paraId="3CACF3FD" w14:textId="77777777" w:rsidR="00BE33EB" w:rsidRDefault="00BE33EB" w:rsidP="00BE33EB">
      <w:pPr>
        <w:pStyle w:val="Heading1"/>
        <w:spacing w:after="120"/>
      </w:pPr>
      <w:r>
        <w:t xml:space="preserve">Multi-Year </w:t>
      </w:r>
      <w:r w:rsidRPr="00905FEF">
        <w:t xml:space="preserve">Work Plan </w:t>
      </w:r>
      <w:r>
        <w:rPr>
          <w:rStyle w:val="FootnoteReference"/>
        </w:rPr>
        <w:footnoteReference w:id="2"/>
      </w:r>
      <w:r>
        <w:rPr>
          <w:rStyle w:val="FootnoteReference"/>
        </w:rPr>
        <w:footnoteReference w:id="3"/>
      </w:r>
    </w:p>
    <w:p w14:paraId="5219129E" w14:textId="01D12401" w:rsidR="00BE33EB" w:rsidRPr="0064123B" w:rsidRDefault="00BE33EB" w:rsidP="00BE33EB">
      <w:pPr>
        <w:rPr>
          <w:rFonts w:ascii="Calibri" w:hAnsi="Calibri"/>
          <w:i/>
        </w:rPr>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1775"/>
        <w:gridCol w:w="584"/>
        <w:gridCol w:w="578"/>
        <w:gridCol w:w="550"/>
        <w:gridCol w:w="586"/>
        <w:gridCol w:w="809"/>
        <w:gridCol w:w="821"/>
        <w:gridCol w:w="667"/>
        <w:gridCol w:w="1302"/>
      </w:tblGrid>
      <w:tr w:rsidR="00BE33EB" w14:paraId="2BB6DEF3" w14:textId="77777777" w:rsidTr="009B47D7">
        <w:trPr>
          <w:cantSplit/>
          <w:trHeight w:val="195"/>
        </w:trPr>
        <w:tc>
          <w:tcPr>
            <w:tcW w:w="1123" w:type="pct"/>
            <w:vMerge w:val="restart"/>
            <w:shd w:val="clear" w:color="auto" w:fill="FFFF99"/>
          </w:tcPr>
          <w:p w14:paraId="26EC0BD8" w14:textId="77777777" w:rsidR="00BE33EB" w:rsidRDefault="00BE33EB" w:rsidP="00D816B6">
            <w:pPr>
              <w:spacing w:before="60"/>
              <w:jc w:val="center"/>
              <w:rPr>
                <w:b/>
                <w:bCs/>
                <w:sz w:val="18"/>
              </w:rPr>
            </w:pPr>
            <w:r>
              <w:rPr>
                <w:b/>
                <w:bCs/>
                <w:sz w:val="18"/>
              </w:rPr>
              <w:t>EXPECTED OUTPUTS</w:t>
            </w:r>
          </w:p>
          <w:p w14:paraId="488F2C25" w14:textId="77777777" w:rsidR="00BE33EB" w:rsidRPr="00894D47" w:rsidRDefault="00BE33EB" w:rsidP="00D816B6">
            <w:pPr>
              <w:rPr>
                <w:rFonts w:ascii="Arial Narrow" w:hAnsi="Arial Narrow"/>
                <w:i/>
                <w:sz w:val="18"/>
                <w:szCs w:val="18"/>
              </w:rPr>
            </w:pPr>
          </w:p>
        </w:tc>
        <w:tc>
          <w:tcPr>
            <w:tcW w:w="897" w:type="pct"/>
            <w:vMerge w:val="restart"/>
            <w:shd w:val="clear" w:color="auto" w:fill="FFFF99"/>
          </w:tcPr>
          <w:p w14:paraId="379D56A4" w14:textId="77777777" w:rsidR="00BE33EB" w:rsidRPr="007878A9" w:rsidRDefault="00BE33EB" w:rsidP="00D816B6">
            <w:pPr>
              <w:spacing w:before="60"/>
              <w:jc w:val="center"/>
              <w:rPr>
                <w:bCs/>
                <w:i/>
                <w:sz w:val="16"/>
                <w:szCs w:val="16"/>
              </w:rPr>
            </w:pPr>
            <w:r>
              <w:rPr>
                <w:b/>
                <w:bCs/>
                <w:sz w:val="18"/>
              </w:rPr>
              <w:t>PLANNED ACTIVITIES</w:t>
            </w:r>
          </w:p>
        </w:tc>
        <w:tc>
          <w:tcPr>
            <w:tcW w:w="1161" w:type="pct"/>
            <w:gridSpan w:val="4"/>
            <w:shd w:val="clear" w:color="auto" w:fill="FFFF99"/>
            <w:vAlign w:val="center"/>
          </w:tcPr>
          <w:p w14:paraId="2A11AB32" w14:textId="77777777" w:rsidR="00BE33EB" w:rsidRDefault="00BE33EB" w:rsidP="00D816B6">
            <w:pPr>
              <w:spacing w:before="60"/>
              <w:jc w:val="center"/>
              <w:rPr>
                <w:b/>
                <w:bCs/>
                <w:sz w:val="18"/>
              </w:rPr>
            </w:pPr>
            <w:r>
              <w:rPr>
                <w:b/>
                <w:bCs/>
                <w:sz w:val="18"/>
              </w:rPr>
              <w:t>Planned Budget by Year</w:t>
            </w:r>
          </w:p>
        </w:tc>
        <w:tc>
          <w:tcPr>
            <w:tcW w:w="409" w:type="pct"/>
            <w:vMerge w:val="restart"/>
            <w:shd w:val="clear" w:color="auto" w:fill="FFFF99"/>
            <w:vAlign w:val="center"/>
          </w:tcPr>
          <w:p w14:paraId="02E159EF" w14:textId="77777777" w:rsidR="00BE33EB" w:rsidRDefault="00BE33EB" w:rsidP="00D816B6">
            <w:pPr>
              <w:jc w:val="center"/>
              <w:rPr>
                <w:b/>
                <w:bCs/>
                <w:sz w:val="18"/>
              </w:rPr>
            </w:pPr>
            <w:r>
              <w:rPr>
                <w:b/>
                <w:bCs/>
                <w:sz w:val="18"/>
              </w:rPr>
              <w:t>RESPONSIBLE PARTY</w:t>
            </w:r>
          </w:p>
          <w:p w14:paraId="1A43E537" w14:textId="77777777" w:rsidR="00BE33EB" w:rsidRDefault="00BE33EB" w:rsidP="00D816B6">
            <w:pPr>
              <w:jc w:val="center"/>
              <w:rPr>
                <w:b/>
                <w:bCs/>
                <w:sz w:val="18"/>
              </w:rPr>
            </w:pPr>
            <w:r>
              <w:rPr>
                <w:b/>
                <w:bCs/>
                <w:sz w:val="18"/>
              </w:rPr>
              <w:t>/Donor</w:t>
            </w:r>
          </w:p>
        </w:tc>
        <w:tc>
          <w:tcPr>
            <w:tcW w:w="1410" w:type="pct"/>
            <w:gridSpan w:val="3"/>
            <w:shd w:val="clear" w:color="auto" w:fill="FFFF99"/>
            <w:vAlign w:val="center"/>
          </w:tcPr>
          <w:p w14:paraId="39BD3C16" w14:textId="77777777" w:rsidR="00BE33EB" w:rsidRPr="00894D47" w:rsidRDefault="00BE33EB" w:rsidP="00D816B6">
            <w:pPr>
              <w:spacing w:before="60"/>
              <w:jc w:val="center"/>
              <w:rPr>
                <w:b/>
                <w:bCs/>
                <w:sz w:val="18"/>
              </w:rPr>
            </w:pPr>
            <w:r>
              <w:rPr>
                <w:b/>
                <w:bCs/>
                <w:sz w:val="18"/>
              </w:rPr>
              <w:t>PLANNED BUDGET</w:t>
            </w:r>
          </w:p>
        </w:tc>
      </w:tr>
      <w:tr w:rsidR="009B47D7" w14:paraId="2F273930" w14:textId="77777777" w:rsidTr="009B47D7">
        <w:trPr>
          <w:cantSplit/>
          <w:trHeight w:val="504"/>
        </w:trPr>
        <w:tc>
          <w:tcPr>
            <w:tcW w:w="1123" w:type="pct"/>
            <w:vMerge/>
            <w:shd w:val="clear" w:color="auto" w:fill="CCCCCC"/>
            <w:vAlign w:val="center"/>
          </w:tcPr>
          <w:p w14:paraId="2193EAA5" w14:textId="77777777" w:rsidR="00BE33EB" w:rsidRDefault="00BE33EB" w:rsidP="00D816B6">
            <w:pPr>
              <w:jc w:val="center"/>
              <w:rPr>
                <w:sz w:val="18"/>
              </w:rPr>
            </w:pPr>
          </w:p>
        </w:tc>
        <w:tc>
          <w:tcPr>
            <w:tcW w:w="897" w:type="pct"/>
            <w:vMerge/>
            <w:tcBorders>
              <w:bottom w:val="single" w:sz="4" w:space="0" w:color="auto"/>
            </w:tcBorders>
            <w:shd w:val="clear" w:color="auto" w:fill="CCCCCC"/>
            <w:vAlign w:val="center"/>
          </w:tcPr>
          <w:p w14:paraId="429D71AA" w14:textId="77777777" w:rsidR="00BE33EB" w:rsidRDefault="00BE33EB" w:rsidP="00D816B6">
            <w:pPr>
              <w:jc w:val="center"/>
              <w:rPr>
                <w:sz w:val="18"/>
              </w:rPr>
            </w:pPr>
          </w:p>
        </w:tc>
        <w:tc>
          <w:tcPr>
            <w:tcW w:w="295" w:type="pct"/>
            <w:tcBorders>
              <w:bottom w:val="single" w:sz="4" w:space="0" w:color="auto"/>
            </w:tcBorders>
            <w:shd w:val="clear" w:color="auto" w:fill="FFFF99"/>
            <w:vAlign w:val="center"/>
          </w:tcPr>
          <w:p w14:paraId="2D1E69AA" w14:textId="77777777" w:rsidR="00BE33EB" w:rsidRDefault="00BE33EB" w:rsidP="00D816B6">
            <w:pPr>
              <w:jc w:val="center"/>
              <w:rPr>
                <w:sz w:val="16"/>
              </w:rPr>
            </w:pPr>
            <w:r>
              <w:rPr>
                <w:sz w:val="16"/>
              </w:rPr>
              <w:t>Y1</w:t>
            </w:r>
          </w:p>
          <w:p w14:paraId="02C86F9C" w14:textId="77777777" w:rsidR="00BE33EB" w:rsidRDefault="00BE33EB" w:rsidP="00D816B6">
            <w:pPr>
              <w:jc w:val="center"/>
              <w:rPr>
                <w:sz w:val="16"/>
              </w:rPr>
            </w:pPr>
            <w:r>
              <w:rPr>
                <w:sz w:val="16"/>
              </w:rPr>
              <w:t>2020</w:t>
            </w:r>
          </w:p>
        </w:tc>
        <w:tc>
          <w:tcPr>
            <w:tcW w:w="292" w:type="pct"/>
            <w:tcBorders>
              <w:bottom w:val="single" w:sz="4" w:space="0" w:color="auto"/>
            </w:tcBorders>
            <w:shd w:val="clear" w:color="auto" w:fill="FFFF99"/>
            <w:vAlign w:val="center"/>
          </w:tcPr>
          <w:p w14:paraId="5E6E66C5" w14:textId="77777777" w:rsidR="00BE33EB" w:rsidRDefault="00BE33EB" w:rsidP="00D816B6">
            <w:pPr>
              <w:jc w:val="center"/>
              <w:rPr>
                <w:sz w:val="16"/>
              </w:rPr>
            </w:pPr>
            <w:r>
              <w:rPr>
                <w:sz w:val="16"/>
              </w:rPr>
              <w:t>Y2</w:t>
            </w:r>
          </w:p>
        </w:tc>
        <w:tc>
          <w:tcPr>
            <w:tcW w:w="278" w:type="pct"/>
            <w:tcBorders>
              <w:bottom w:val="single" w:sz="4" w:space="0" w:color="auto"/>
            </w:tcBorders>
            <w:shd w:val="clear" w:color="auto" w:fill="FFFF99"/>
            <w:vAlign w:val="center"/>
          </w:tcPr>
          <w:p w14:paraId="4C698F20" w14:textId="77777777" w:rsidR="00BE33EB" w:rsidRDefault="00BE33EB" w:rsidP="00D816B6">
            <w:pPr>
              <w:jc w:val="center"/>
              <w:rPr>
                <w:sz w:val="16"/>
              </w:rPr>
            </w:pPr>
            <w:r>
              <w:rPr>
                <w:sz w:val="16"/>
              </w:rPr>
              <w:t>Y3</w:t>
            </w:r>
          </w:p>
        </w:tc>
        <w:tc>
          <w:tcPr>
            <w:tcW w:w="295" w:type="pct"/>
            <w:tcBorders>
              <w:bottom w:val="single" w:sz="4" w:space="0" w:color="auto"/>
            </w:tcBorders>
            <w:shd w:val="clear" w:color="auto" w:fill="FFFF99"/>
            <w:vAlign w:val="center"/>
          </w:tcPr>
          <w:p w14:paraId="08A49D43" w14:textId="77777777" w:rsidR="00BE33EB" w:rsidRDefault="00BE33EB" w:rsidP="00D816B6">
            <w:pPr>
              <w:jc w:val="center"/>
              <w:rPr>
                <w:sz w:val="16"/>
              </w:rPr>
            </w:pPr>
            <w:r>
              <w:rPr>
                <w:sz w:val="16"/>
              </w:rPr>
              <w:t>Y4</w:t>
            </w:r>
          </w:p>
        </w:tc>
        <w:tc>
          <w:tcPr>
            <w:tcW w:w="409" w:type="pct"/>
            <w:vMerge/>
            <w:shd w:val="clear" w:color="auto" w:fill="FFFF99"/>
            <w:vAlign w:val="center"/>
          </w:tcPr>
          <w:p w14:paraId="2E31D6A0" w14:textId="77777777" w:rsidR="00BE33EB" w:rsidRDefault="00BE33EB" w:rsidP="00D816B6">
            <w:pPr>
              <w:jc w:val="center"/>
              <w:rPr>
                <w:sz w:val="18"/>
              </w:rPr>
            </w:pPr>
          </w:p>
        </w:tc>
        <w:tc>
          <w:tcPr>
            <w:tcW w:w="415" w:type="pct"/>
            <w:shd w:val="clear" w:color="auto" w:fill="FFFF99"/>
            <w:vAlign w:val="center"/>
          </w:tcPr>
          <w:p w14:paraId="4903964F" w14:textId="77777777" w:rsidR="00BE33EB" w:rsidRDefault="00BE33EB" w:rsidP="00D816B6">
            <w:pPr>
              <w:jc w:val="center"/>
              <w:rPr>
                <w:sz w:val="16"/>
              </w:rPr>
            </w:pPr>
            <w:r>
              <w:rPr>
                <w:sz w:val="16"/>
              </w:rPr>
              <w:t>Funding Source</w:t>
            </w:r>
          </w:p>
        </w:tc>
        <w:tc>
          <w:tcPr>
            <w:tcW w:w="337" w:type="pct"/>
            <w:shd w:val="clear" w:color="auto" w:fill="FFFF99"/>
            <w:vAlign w:val="center"/>
          </w:tcPr>
          <w:p w14:paraId="29AA3AE7" w14:textId="77777777" w:rsidR="00BE33EB" w:rsidRDefault="00BE33EB" w:rsidP="00D816B6">
            <w:pPr>
              <w:jc w:val="center"/>
              <w:rPr>
                <w:sz w:val="16"/>
              </w:rPr>
            </w:pPr>
            <w:r>
              <w:rPr>
                <w:sz w:val="16"/>
              </w:rPr>
              <w:t>Budget Description</w:t>
            </w:r>
          </w:p>
        </w:tc>
        <w:tc>
          <w:tcPr>
            <w:tcW w:w="657" w:type="pct"/>
            <w:shd w:val="clear" w:color="auto" w:fill="FFFF99"/>
            <w:vAlign w:val="center"/>
          </w:tcPr>
          <w:p w14:paraId="02A28078" w14:textId="77777777" w:rsidR="00BE33EB" w:rsidRDefault="00BE33EB" w:rsidP="00D816B6">
            <w:pPr>
              <w:jc w:val="center"/>
              <w:rPr>
                <w:sz w:val="16"/>
              </w:rPr>
            </w:pPr>
            <w:r>
              <w:rPr>
                <w:sz w:val="16"/>
              </w:rPr>
              <w:t>Amount</w:t>
            </w:r>
          </w:p>
        </w:tc>
      </w:tr>
      <w:tr w:rsidR="009B47D7" w14:paraId="39CB08EC" w14:textId="77777777" w:rsidTr="009B47D7">
        <w:trPr>
          <w:cantSplit/>
          <w:trHeight w:val="179"/>
        </w:trPr>
        <w:tc>
          <w:tcPr>
            <w:tcW w:w="1123" w:type="pct"/>
            <w:vMerge w:val="restart"/>
          </w:tcPr>
          <w:p w14:paraId="4404A8EB" w14:textId="77777777" w:rsidR="009B47D7" w:rsidRDefault="00BE33EB" w:rsidP="00D816B6">
            <w:pPr>
              <w:spacing w:before="60"/>
              <w:rPr>
                <w:rFonts w:ascii="Arial" w:hAnsi="Arial" w:cs="Arial"/>
                <w:sz w:val="20"/>
                <w:lang w:val="en-US"/>
              </w:rPr>
            </w:pPr>
            <w:r w:rsidRPr="00F82BB6">
              <w:rPr>
                <w:b/>
              </w:rPr>
              <w:t>Output 1</w:t>
            </w:r>
            <w:r>
              <w:rPr>
                <w:b/>
              </w:rPr>
              <w:t>:</w:t>
            </w:r>
            <w:r w:rsidRPr="00A53E78">
              <w:rPr>
                <w:rFonts w:ascii="Arial" w:hAnsi="Arial" w:cs="Arial"/>
                <w:sz w:val="20"/>
                <w:lang w:val="en-US"/>
              </w:rPr>
              <w:t xml:space="preserve"> </w:t>
            </w:r>
          </w:p>
          <w:p w14:paraId="0EC9A5C2" w14:textId="5FF48E51" w:rsidR="00BE33EB" w:rsidRPr="00F82BB6" w:rsidRDefault="00BE33EB" w:rsidP="00D816B6">
            <w:pPr>
              <w:spacing w:before="60"/>
              <w:rPr>
                <w:b/>
              </w:rPr>
            </w:pPr>
            <w:r w:rsidRPr="009B47D7">
              <w:rPr>
                <w:rFonts w:cs="Arial"/>
                <w:sz w:val="20"/>
                <w:lang w:val="en-US"/>
              </w:rPr>
              <w:t>A blue green agenda with a platform that includes public and private sectors for the country developed and established which support the identification of innovative financing opportunities</w:t>
            </w:r>
          </w:p>
          <w:p w14:paraId="68E8BA3F" w14:textId="77777777" w:rsidR="00BE33EB" w:rsidRDefault="00BE33EB" w:rsidP="00D816B6">
            <w:pPr>
              <w:rPr>
                <w:i/>
                <w:sz w:val="20"/>
              </w:rPr>
            </w:pPr>
          </w:p>
          <w:p w14:paraId="433DFA9F" w14:textId="77777777" w:rsidR="00BE33EB" w:rsidRDefault="00BE33EB" w:rsidP="00D816B6">
            <w:pPr>
              <w:rPr>
                <w:i/>
                <w:sz w:val="20"/>
              </w:rPr>
            </w:pPr>
            <w:r>
              <w:rPr>
                <w:i/>
                <w:sz w:val="20"/>
              </w:rPr>
              <w:t>Gender marker: 2</w:t>
            </w:r>
          </w:p>
          <w:p w14:paraId="3BC489A4" w14:textId="77777777" w:rsidR="00BE33EB" w:rsidRPr="00137EB2" w:rsidRDefault="00BE33EB" w:rsidP="00D816B6">
            <w:pPr>
              <w:ind w:left="180"/>
              <w:rPr>
                <w:i/>
                <w:sz w:val="20"/>
              </w:rPr>
            </w:pPr>
          </w:p>
        </w:tc>
        <w:tc>
          <w:tcPr>
            <w:tcW w:w="897" w:type="pct"/>
            <w:vMerge w:val="restart"/>
            <w:vAlign w:val="center"/>
          </w:tcPr>
          <w:p w14:paraId="7DE13749" w14:textId="77777777" w:rsidR="00BE33EB" w:rsidRPr="001E48E2" w:rsidRDefault="00BE33EB" w:rsidP="00BE33EB">
            <w:pPr>
              <w:pStyle w:val="ListParagraph"/>
              <w:numPr>
                <w:ilvl w:val="1"/>
                <w:numId w:val="29"/>
              </w:numPr>
              <w:ind w:left="256" w:hanging="256"/>
              <w:contextualSpacing/>
              <w:rPr>
                <w:rFonts w:cs="Arial"/>
                <w:snapToGrid w:val="0"/>
                <w:sz w:val="20"/>
              </w:rPr>
            </w:pPr>
            <w:r w:rsidRPr="001E48E2">
              <w:rPr>
                <w:iCs/>
                <w:sz w:val="16"/>
              </w:rPr>
              <w:t xml:space="preserve">Activity </w:t>
            </w:r>
            <w:r w:rsidRPr="001E48E2">
              <w:rPr>
                <w:rFonts w:cs="Arial"/>
                <w:snapToGrid w:val="0"/>
                <w:sz w:val="20"/>
              </w:rPr>
              <w:t>Co-design among actors a Blue Green Economy Agenda to engage stakeholders for 2020</w:t>
            </w:r>
          </w:p>
          <w:p w14:paraId="4412DC23" w14:textId="77777777" w:rsidR="00BE33EB" w:rsidRPr="006626EC" w:rsidRDefault="00BE33EB" w:rsidP="00D816B6">
            <w:pPr>
              <w:spacing w:before="40"/>
              <w:ind w:left="256" w:hanging="256"/>
              <w:rPr>
                <w:iCs/>
                <w:sz w:val="16"/>
              </w:rPr>
            </w:pPr>
          </w:p>
        </w:tc>
        <w:tc>
          <w:tcPr>
            <w:tcW w:w="295" w:type="pct"/>
            <w:vMerge w:val="restart"/>
            <w:vAlign w:val="center"/>
          </w:tcPr>
          <w:p w14:paraId="229404DB" w14:textId="77777777" w:rsidR="00BE33EB" w:rsidRDefault="00BE33EB" w:rsidP="00D816B6">
            <w:pPr>
              <w:jc w:val="center"/>
            </w:pPr>
            <w:r>
              <w:t>X</w:t>
            </w:r>
          </w:p>
        </w:tc>
        <w:tc>
          <w:tcPr>
            <w:tcW w:w="292" w:type="pct"/>
            <w:vMerge w:val="restart"/>
            <w:vAlign w:val="center"/>
          </w:tcPr>
          <w:p w14:paraId="238B0CBE" w14:textId="77777777" w:rsidR="00BE33EB" w:rsidRDefault="00BE33EB" w:rsidP="00D816B6"/>
        </w:tc>
        <w:tc>
          <w:tcPr>
            <w:tcW w:w="278" w:type="pct"/>
            <w:vMerge w:val="restart"/>
            <w:vAlign w:val="center"/>
          </w:tcPr>
          <w:p w14:paraId="28749DEE" w14:textId="77777777" w:rsidR="00BE33EB" w:rsidRDefault="00BE33EB" w:rsidP="00D816B6"/>
        </w:tc>
        <w:tc>
          <w:tcPr>
            <w:tcW w:w="295" w:type="pct"/>
            <w:vMerge w:val="restart"/>
            <w:vAlign w:val="center"/>
          </w:tcPr>
          <w:p w14:paraId="1CDB8330" w14:textId="77777777" w:rsidR="00BE33EB" w:rsidRDefault="00BE33EB" w:rsidP="00D816B6"/>
        </w:tc>
        <w:tc>
          <w:tcPr>
            <w:tcW w:w="409" w:type="pct"/>
            <w:vMerge w:val="restart"/>
            <w:vAlign w:val="center"/>
          </w:tcPr>
          <w:p w14:paraId="2C44861B" w14:textId="77777777" w:rsidR="00BE33EB" w:rsidRPr="00B12BE2" w:rsidRDefault="00BE33EB" w:rsidP="00D816B6">
            <w:pPr>
              <w:rPr>
                <w:sz w:val="16"/>
                <w:szCs w:val="18"/>
              </w:rPr>
            </w:pPr>
            <w:r w:rsidRPr="00B12BE2">
              <w:rPr>
                <w:sz w:val="16"/>
                <w:szCs w:val="18"/>
              </w:rPr>
              <w:t>001981/00012</w:t>
            </w:r>
          </w:p>
        </w:tc>
        <w:tc>
          <w:tcPr>
            <w:tcW w:w="415" w:type="pct"/>
            <w:vAlign w:val="center"/>
          </w:tcPr>
          <w:p w14:paraId="5BD98017" w14:textId="77777777" w:rsidR="00BE33EB" w:rsidRPr="00DB5EE3" w:rsidRDefault="00BE33EB" w:rsidP="00D816B6">
            <w:pPr>
              <w:rPr>
                <w:sz w:val="16"/>
                <w:szCs w:val="16"/>
              </w:rPr>
            </w:pPr>
          </w:p>
        </w:tc>
        <w:tc>
          <w:tcPr>
            <w:tcW w:w="337" w:type="pct"/>
            <w:vAlign w:val="center"/>
          </w:tcPr>
          <w:p w14:paraId="4213DABB" w14:textId="77777777" w:rsidR="00BE33EB" w:rsidRPr="00DB5EE3" w:rsidRDefault="00BE33EB" w:rsidP="00D816B6">
            <w:pPr>
              <w:rPr>
                <w:sz w:val="16"/>
                <w:szCs w:val="16"/>
              </w:rPr>
            </w:pPr>
          </w:p>
        </w:tc>
        <w:tc>
          <w:tcPr>
            <w:tcW w:w="657" w:type="pct"/>
          </w:tcPr>
          <w:p w14:paraId="0EBB12C0" w14:textId="77777777" w:rsidR="00BE33EB" w:rsidRPr="00DB5EE3" w:rsidRDefault="00BE33EB" w:rsidP="00D816B6">
            <w:pPr>
              <w:tabs>
                <w:tab w:val="left" w:pos="639"/>
              </w:tabs>
              <w:rPr>
                <w:sz w:val="16"/>
                <w:szCs w:val="16"/>
              </w:rPr>
            </w:pPr>
            <w:r w:rsidRPr="00DB5EE3">
              <w:rPr>
                <w:sz w:val="16"/>
                <w:szCs w:val="16"/>
              </w:rPr>
              <w:tab/>
            </w:r>
          </w:p>
        </w:tc>
      </w:tr>
      <w:tr w:rsidR="009B47D7" w14:paraId="2A70901A" w14:textId="77777777" w:rsidTr="009B47D7">
        <w:trPr>
          <w:cantSplit/>
          <w:trHeight w:val="131"/>
        </w:trPr>
        <w:tc>
          <w:tcPr>
            <w:tcW w:w="1123" w:type="pct"/>
            <w:vMerge/>
          </w:tcPr>
          <w:p w14:paraId="3D220FEA" w14:textId="77777777" w:rsidR="00BE33EB" w:rsidRPr="00F82BB6" w:rsidRDefault="00BE33EB" w:rsidP="00D816B6">
            <w:pPr>
              <w:spacing w:before="60"/>
              <w:rPr>
                <w:b/>
              </w:rPr>
            </w:pPr>
          </w:p>
        </w:tc>
        <w:tc>
          <w:tcPr>
            <w:tcW w:w="897" w:type="pct"/>
            <w:vMerge/>
            <w:vAlign w:val="bottom"/>
          </w:tcPr>
          <w:p w14:paraId="5EC9571A" w14:textId="77777777" w:rsidR="00BE33EB" w:rsidRDefault="00BE33EB" w:rsidP="00BE33EB">
            <w:pPr>
              <w:widowControl/>
              <w:numPr>
                <w:ilvl w:val="1"/>
                <w:numId w:val="28"/>
              </w:numPr>
              <w:spacing w:before="40"/>
              <w:ind w:left="256" w:hanging="256"/>
              <w:jc w:val="both"/>
              <w:rPr>
                <w:iCs/>
                <w:sz w:val="16"/>
              </w:rPr>
            </w:pPr>
          </w:p>
        </w:tc>
        <w:tc>
          <w:tcPr>
            <w:tcW w:w="295" w:type="pct"/>
            <w:vMerge/>
            <w:vAlign w:val="center"/>
          </w:tcPr>
          <w:p w14:paraId="6D1F6B24" w14:textId="77777777" w:rsidR="00BE33EB" w:rsidRDefault="00BE33EB" w:rsidP="00D816B6">
            <w:pPr>
              <w:jc w:val="center"/>
            </w:pPr>
          </w:p>
        </w:tc>
        <w:tc>
          <w:tcPr>
            <w:tcW w:w="292" w:type="pct"/>
            <w:vMerge/>
            <w:vAlign w:val="center"/>
          </w:tcPr>
          <w:p w14:paraId="695E3717" w14:textId="77777777" w:rsidR="00BE33EB" w:rsidRDefault="00BE33EB" w:rsidP="00D816B6"/>
        </w:tc>
        <w:tc>
          <w:tcPr>
            <w:tcW w:w="278" w:type="pct"/>
            <w:vMerge/>
            <w:vAlign w:val="center"/>
          </w:tcPr>
          <w:p w14:paraId="5E7466AA" w14:textId="77777777" w:rsidR="00BE33EB" w:rsidRDefault="00BE33EB" w:rsidP="00D816B6"/>
        </w:tc>
        <w:tc>
          <w:tcPr>
            <w:tcW w:w="295" w:type="pct"/>
            <w:vMerge/>
            <w:vAlign w:val="center"/>
          </w:tcPr>
          <w:p w14:paraId="32936485" w14:textId="77777777" w:rsidR="00BE33EB" w:rsidRDefault="00BE33EB" w:rsidP="00D816B6"/>
        </w:tc>
        <w:tc>
          <w:tcPr>
            <w:tcW w:w="409" w:type="pct"/>
            <w:vMerge/>
            <w:vAlign w:val="center"/>
          </w:tcPr>
          <w:p w14:paraId="5B841735" w14:textId="77777777" w:rsidR="00BE33EB" w:rsidRPr="00B12BE2" w:rsidRDefault="00BE33EB" w:rsidP="00D816B6">
            <w:pPr>
              <w:rPr>
                <w:sz w:val="16"/>
                <w:szCs w:val="18"/>
              </w:rPr>
            </w:pPr>
          </w:p>
        </w:tc>
        <w:tc>
          <w:tcPr>
            <w:tcW w:w="415" w:type="pct"/>
            <w:vAlign w:val="center"/>
          </w:tcPr>
          <w:p w14:paraId="757B44BC" w14:textId="77777777" w:rsidR="00BE33EB" w:rsidRPr="00B12BE2" w:rsidRDefault="00BE33EB" w:rsidP="00D816B6">
            <w:pPr>
              <w:rPr>
                <w:sz w:val="16"/>
                <w:szCs w:val="16"/>
              </w:rPr>
            </w:pPr>
            <w:r w:rsidRPr="00B12BE2">
              <w:rPr>
                <w:sz w:val="20"/>
                <w:szCs w:val="22"/>
              </w:rPr>
              <w:t xml:space="preserve">Fund Code </w:t>
            </w:r>
            <w:r w:rsidRPr="00B12BE2">
              <w:rPr>
                <w:b/>
                <w:bCs/>
                <w:sz w:val="20"/>
                <w:szCs w:val="22"/>
              </w:rPr>
              <w:t>11426</w:t>
            </w:r>
          </w:p>
        </w:tc>
        <w:tc>
          <w:tcPr>
            <w:tcW w:w="337" w:type="pct"/>
            <w:vAlign w:val="center"/>
          </w:tcPr>
          <w:p w14:paraId="1508E380" w14:textId="77777777" w:rsidR="00BE33EB" w:rsidRPr="00DB5EE3" w:rsidRDefault="00BE33EB" w:rsidP="00D816B6">
            <w:pPr>
              <w:rPr>
                <w:sz w:val="16"/>
                <w:szCs w:val="16"/>
              </w:rPr>
            </w:pPr>
            <w:r>
              <w:rPr>
                <w:sz w:val="16"/>
                <w:szCs w:val="16"/>
              </w:rPr>
              <w:t>71400</w:t>
            </w:r>
          </w:p>
        </w:tc>
        <w:tc>
          <w:tcPr>
            <w:tcW w:w="657" w:type="pct"/>
          </w:tcPr>
          <w:p w14:paraId="110C5B14" w14:textId="77777777" w:rsidR="00BE33EB" w:rsidRDefault="00BE33EB" w:rsidP="00D816B6">
            <w:pPr>
              <w:rPr>
                <w:sz w:val="16"/>
                <w:szCs w:val="16"/>
              </w:rPr>
            </w:pPr>
          </w:p>
          <w:p w14:paraId="11B3B91C" w14:textId="77777777" w:rsidR="00BE33EB" w:rsidRDefault="00BE33EB" w:rsidP="00D816B6">
            <w:pPr>
              <w:rPr>
                <w:sz w:val="16"/>
                <w:szCs w:val="16"/>
              </w:rPr>
            </w:pPr>
          </w:p>
          <w:p w14:paraId="0E62AAB4" w14:textId="77777777" w:rsidR="00BE33EB" w:rsidRDefault="00BE33EB" w:rsidP="00D816B6">
            <w:pPr>
              <w:rPr>
                <w:sz w:val="16"/>
                <w:szCs w:val="16"/>
              </w:rPr>
            </w:pPr>
          </w:p>
          <w:p w14:paraId="5866264C" w14:textId="77777777" w:rsidR="00BE33EB" w:rsidRDefault="00BE33EB" w:rsidP="00D816B6">
            <w:pPr>
              <w:rPr>
                <w:sz w:val="16"/>
                <w:szCs w:val="16"/>
              </w:rPr>
            </w:pPr>
          </w:p>
          <w:p w14:paraId="3A91F18D" w14:textId="77777777" w:rsidR="00BE33EB" w:rsidRDefault="00BE33EB" w:rsidP="00D816B6">
            <w:pPr>
              <w:rPr>
                <w:sz w:val="16"/>
                <w:szCs w:val="16"/>
              </w:rPr>
            </w:pPr>
          </w:p>
          <w:p w14:paraId="220EBCE0" w14:textId="61D81B08" w:rsidR="00BE33EB" w:rsidRPr="00DB5EE3" w:rsidRDefault="00BE33EB" w:rsidP="00D816B6">
            <w:pPr>
              <w:rPr>
                <w:sz w:val="16"/>
                <w:szCs w:val="16"/>
              </w:rPr>
            </w:pPr>
            <w:r>
              <w:rPr>
                <w:sz w:val="16"/>
                <w:szCs w:val="16"/>
              </w:rPr>
              <w:t>30,000</w:t>
            </w:r>
          </w:p>
        </w:tc>
      </w:tr>
      <w:tr w:rsidR="009B47D7" w14:paraId="68485F15" w14:textId="77777777" w:rsidTr="009B47D7">
        <w:trPr>
          <w:cantSplit/>
          <w:trHeight w:val="89"/>
        </w:trPr>
        <w:tc>
          <w:tcPr>
            <w:tcW w:w="1123" w:type="pct"/>
            <w:vMerge/>
          </w:tcPr>
          <w:p w14:paraId="3B550E29" w14:textId="77777777" w:rsidR="00BE33EB" w:rsidRDefault="00BE33EB" w:rsidP="00D816B6"/>
        </w:tc>
        <w:tc>
          <w:tcPr>
            <w:tcW w:w="897" w:type="pct"/>
            <w:vMerge w:val="restart"/>
            <w:vAlign w:val="center"/>
          </w:tcPr>
          <w:p w14:paraId="490D1722" w14:textId="77777777" w:rsidR="00BE33EB" w:rsidRPr="001E48E2" w:rsidRDefault="00BE33EB" w:rsidP="00D816B6">
            <w:pPr>
              <w:widowControl/>
              <w:ind w:left="256" w:hanging="256"/>
              <w:contextualSpacing/>
              <w:rPr>
                <w:rFonts w:ascii="Arial" w:hAnsi="Arial" w:cs="Arial"/>
                <w:sz w:val="20"/>
              </w:rPr>
            </w:pPr>
            <w:r w:rsidRPr="001E48E2">
              <w:rPr>
                <w:iCs/>
                <w:sz w:val="16"/>
              </w:rPr>
              <w:t xml:space="preserve">1.2 </w:t>
            </w:r>
            <w:r w:rsidRPr="001E48E2">
              <w:rPr>
                <w:rFonts w:cs="Arial"/>
                <w:snapToGrid/>
                <w:sz w:val="20"/>
                <w:lang w:val="en-US"/>
              </w:rPr>
              <w:t>Activity Establish a Blue Green Economy Platform with stakeholders (private and public sector)</w:t>
            </w:r>
          </w:p>
          <w:p w14:paraId="163D3DD5" w14:textId="77777777" w:rsidR="00BE33EB" w:rsidRPr="001E48E2" w:rsidRDefault="00BE33EB" w:rsidP="00D816B6">
            <w:pPr>
              <w:spacing w:before="40"/>
              <w:ind w:left="256" w:hanging="256"/>
              <w:rPr>
                <w:i/>
                <w:iCs/>
                <w:sz w:val="16"/>
              </w:rPr>
            </w:pPr>
          </w:p>
        </w:tc>
        <w:tc>
          <w:tcPr>
            <w:tcW w:w="295" w:type="pct"/>
            <w:vMerge w:val="restart"/>
            <w:vAlign w:val="center"/>
          </w:tcPr>
          <w:p w14:paraId="4679DCFC" w14:textId="77777777" w:rsidR="00BE33EB" w:rsidRDefault="00BE33EB" w:rsidP="00D816B6">
            <w:pPr>
              <w:jc w:val="center"/>
            </w:pPr>
            <w:r>
              <w:t>X</w:t>
            </w:r>
          </w:p>
        </w:tc>
        <w:tc>
          <w:tcPr>
            <w:tcW w:w="292" w:type="pct"/>
            <w:vMerge w:val="restart"/>
            <w:vAlign w:val="center"/>
          </w:tcPr>
          <w:p w14:paraId="4C1F89C3" w14:textId="77777777" w:rsidR="00BE33EB" w:rsidRDefault="00BE33EB" w:rsidP="00D816B6"/>
        </w:tc>
        <w:tc>
          <w:tcPr>
            <w:tcW w:w="278" w:type="pct"/>
            <w:vMerge w:val="restart"/>
            <w:vAlign w:val="center"/>
          </w:tcPr>
          <w:p w14:paraId="70F4CBFD" w14:textId="77777777" w:rsidR="00BE33EB" w:rsidRDefault="00BE33EB" w:rsidP="00D816B6"/>
        </w:tc>
        <w:tc>
          <w:tcPr>
            <w:tcW w:w="295" w:type="pct"/>
            <w:vMerge w:val="restart"/>
            <w:vAlign w:val="center"/>
          </w:tcPr>
          <w:p w14:paraId="7A42940E" w14:textId="77777777" w:rsidR="00BE33EB" w:rsidRDefault="00BE33EB" w:rsidP="00D816B6"/>
        </w:tc>
        <w:tc>
          <w:tcPr>
            <w:tcW w:w="409" w:type="pct"/>
            <w:vMerge w:val="restart"/>
            <w:vAlign w:val="center"/>
          </w:tcPr>
          <w:p w14:paraId="6736D3B2" w14:textId="77777777" w:rsidR="00BE33EB" w:rsidRPr="00B12BE2" w:rsidRDefault="00BE33EB" w:rsidP="00D816B6">
            <w:pPr>
              <w:rPr>
                <w:sz w:val="16"/>
                <w:szCs w:val="18"/>
              </w:rPr>
            </w:pPr>
            <w:r w:rsidRPr="00B12BE2">
              <w:rPr>
                <w:sz w:val="16"/>
                <w:szCs w:val="18"/>
              </w:rPr>
              <w:t>001981/00012</w:t>
            </w:r>
          </w:p>
        </w:tc>
        <w:tc>
          <w:tcPr>
            <w:tcW w:w="415" w:type="pct"/>
            <w:vAlign w:val="center"/>
          </w:tcPr>
          <w:p w14:paraId="3D64422F" w14:textId="77777777" w:rsidR="00BE33EB" w:rsidRPr="00B12BE2" w:rsidRDefault="00BE33EB" w:rsidP="00D816B6">
            <w:pPr>
              <w:rPr>
                <w:sz w:val="16"/>
                <w:szCs w:val="16"/>
              </w:rPr>
            </w:pPr>
          </w:p>
        </w:tc>
        <w:tc>
          <w:tcPr>
            <w:tcW w:w="337" w:type="pct"/>
            <w:vAlign w:val="center"/>
          </w:tcPr>
          <w:p w14:paraId="4A4BDBD7" w14:textId="77777777" w:rsidR="00BE33EB" w:rsidRPr="00316445" w:rsidRDefault="00BE33EB" w:rsidP="00D816B6">
            <w:pPr>
              <w:rPr>
                <w:sz w:val="16"/>
                <w:szCs w:val="16"/>
              </w:rPr>
            </w:pPr>
          </w:p>
        </w:tc>
        <w:tc>
          <w:tcPr>
            <w:tcW w:w="657" w:type="pct"/>
          </w:tcPr>
          <w:p w14:paraId="5B3DADFB" w14:textId="77777777" w:rsidR="00BE33EB" w:rsidRPr="00316445" w:rsidRDefault="00BE33EB" w:rsidP="00D816B6">
            <w:pPr>
              <w:rPr>
                <w:sz w:val="16"/>
                <w:szCs w:val="16"/>
              </w:rPr>
            </w:pPr>
          </w:p>
        </w:tc>
      </w:tr>
      <w:tr w:rsidR="009B47D7" w14:paraId="3D8A6D2A" w14:textId="77777777" w:rsidTr="009B47D7">
        <w:trPr>
          <w:cantSplit/>
          <w:trHeight w:val="87"/>
        </w:trPr>
        <w:tc>
          <w:tcPr>
            <w:tcW w:w="1123" w:type="pct"/>
            <w:vMerge/>
          </w:tcPr>
          <w:p w14:paraId="3B748DDC" w14:textId="77777777" w:rsidR="00BE33EB" w:rsidRDefault="00BE33EB" w:rsidP="00D816B6"/>
        </w:tc>
        <w:tc>
          <w:tcPr>
            <w:tcW w:w="897" w:type="pct"/>
            <w:vMerge/>
            <w:vAlign w:val="center"/>
          </w:tcPr>
          <w:p w14:paraId="0172F39D" w14:textId="77777777" w:rsidR="00BE33EB" w:rsidRDefault="00BE33EB" w:rsidP="00D816B6">
            <w:pPr>
              <w:spacing w:before="40"/>
              <w:ind w:left="256" w:hanging="256"/>
              <w:rPr>
                <w:iCs/>
                <w:sz w:val="16"/>
              </w:rPr>
            </w:pPr>
          </w:p>
        </w:tc>
        <w:tc>
          <w:tcPr>
            <w:tcW w:w="295" w:type="pct"/>
            <w:vMerge/>
            <w:vAlign w:val="center"/>
          </w:tcPr>
          <w:p w14:paraId="31F87479" w14:textId="77777777" w:rsidR="00BE33EB" w:rsidRDefault="00BE33EB" w:rsidP="00D816B6">
            <w:pPr>
              <w:jc w:val="center"/>
            </w:pPr>
          </w:p>
        </w:tc>
        <w:tc>
          <w:tcPr>
            <w:tcW w:w="292" w:type="pct"/>
            <w:vMerge/>
            <w:vAlign w:val="center"/>
          </w:tcPr>
          <w:p w14:paraId="239926C5" w14:textId="77777777" w:rsidR="00BE33EB" w:rsidRDefault="00BE33EB" w:rsidP="00D816B6"/>
        </w:tc>
        <w:tc>
          <w:tcPr>
            <w:tcW w:w="278" w:type="pct"/>
            <w:vMerge/>
            <w:vAlign w:val="center"/>
          </w:tcPr>
          <w:p w14:paraId="45710641" w14:textId="77777777" w:rsidR="00BE33EB" w:rsidRDefault="00BE33EB" w:rsidP="00D816B6"/>
        </w:tc>
        <w:tc>
          <w:tcPr>
            <w:tcW w:w="295" w:type="pct"/>
            <w:vMerge/>
            <w:vAlign w:val="center"/>
          </w:tcPr>
          <w:p w14:paraId="1C09D407" w14:textId="77777777" w:rsidR="00BE33EB" w:rsidRDefault="00BE33EB" w:rsidP="00D816B6"/>
        </w:tc>
        <w:tc>
          <w:tcPr>
            <w:tcW w:w="409" w:type="pct"/>
            <w:vMerge/>
            <w:vAlign w:val="center"/>
          </w:tcPr>
          <w:p w14:paraId="4017DB9F" w14:textId="77777777" w:rsidR="00BE33EB" w:rsidRDefault="00BE33EB" w:rsidP="00D816B6"/>
        </w:tc>
        <w:tc>
          <w:tcPr>
            <w:tcW w:w="415" w:type="pct"/>
            <w:vAlign w:val="center"/>
          </w:tcPr>
          <w:p w14:paraId="6E513CC0" w14:textId="77777777" w:rsidR="00BE33EB" w:rsidRPr="00B12BE2" w:rsidRDefault="00BE33EB" w:rsidP="00D816B6">
            <w:pPr>
              <w:rPr>
                <w:sz w:val="16"/>
                <w:szCs w:val="16"/>
              </w:rPr>
            </w:pPr>
            <w:r w:rsidRPr="00B12BE2">
              <w:rPr>
                <w:sz w:val="20"/>
                <w:szCs w:val="22"/>
              </w:rPr>
              <w:t xml:space="preserve">Fund Code </w:t>
            </w:r>
            <w:r w:rsidRPr="00B12BE2">
              <w:rPr>
                <w:b/>
                <w:bCs/>
                <w:sz w:val="20"/>
                <w:szCs w:val="22"/>
              </w:rPr>
              <w:t>11426</w:t>
            </w:r>
          </w:p>
        </w:tc>
        <w:tc>
          <w:tcPr>
            <w:tcW w:w="337" w:type="pct"/>
            <w:vAlign w:val="center"/>
          </w:tcPr>
          <w:p w14:paraId="3D94715C" w14:textId="77777777" w:rsidR="00BE33EB" w:rsidRPr="00316445" w:rsidRDefault="00BE33EB" w:rsidP="00D816B6">
            <w:pPr>
              <w:rPr>
                <w:sz w:val="16"/>
                <w:szCs w:val="16"/>
              </w:rPr>
            </w:pPr>
            <w:r>
              <w:rPr>
                <w:sz w:val="16"/>
                <w:szCs w:val="16"/>
              </w:rPr>
              <w:t>75700</w:t>
            </w:r>
          </w:p>
        </w:tc>
        <w:tc>
          <w:tcPr>
            <w:tcW w:w="657" w:type="pct"/>
          </w:tcPr>
          <w:p w14:paraId="02CDA793" w14:textId="77777777" w:rsidR="00BE33EB" w:rsidRDefault="00BE33EB" w:rsidP="00D816B6">
            <w:pPr>
              <w:rPr>
                <w:sz w:val="16"/>
                <w:szCs w:val="16"/>
              </w:rPr>
            </w:pPr>
          </w:p>
          <w:p w14:paraId="5402C524" w14:textId="77777777" w:rsidR="009B47D7" w:rsidRDefault="009B47D7" w:rsidP="00D816B6">
            <w:pPr>
              <w:rPr>
                <w:sz w:val="16"/>
                <w:szCs w:val="16"/>
              </w:rPr>
            </w:pPr>
          </w:p>
          <w:p w14:paraId="26A25B04" w14:textId="36C8E4EA" w:rsidR="00BE33EB" w:rsidRPr="00316445" w:rsidRDefault="00BE33EB" w:rsidP="00D816B6">
            <w:pPr>
              <w:rPr>
                <w:sz w:val="16"/>
                <w:szCs w:val="16"/>
              </w:rPr>
            </w:pPr>
            <w:r>
              <w:rPr>
                <w:sz w:val="16"/>
                <w:szCs w:val="16"/>
              </w:rPr>
              <w:t>30,000</w:t>
            </w:r>
          </w:p>
        </w:tc>
      </w:tr>
      <w:tr w:rsidR="009B47D7" w14:paraId="52F8E8BA" w14:textId="77777777" w:rsidTr="009B47D7">
        <w:trPr>
          <w:cantSplit/>
          <w:trHeight w:val="87"/>
        </w:trPr>
        <w:tc>
          <w:tcPr>
            <w:tcW w:w="1123" w:type="pct"/>
            <w:vMerge/>
          </w:tcPr>
          <w:p w14:paraId="028AC465" w14:textId="77777777" w:rsidR="00BE33EB" w:rsidRDefault="00BE33EB" w:rsidP="00D816B6"/>
        </w:tc>
        <w:tc>
          <w:tcPr>
            <w:tcW w:w="897" w:type="pct"/>
            <w:vMerge/>
            <w:vAlign w:val="center"/>
          </w:tcPr>
          <w:p w14:paraId="209D0BE5" w14:textId="77777777" w:rsidR="00BE33EB" w:rsidRDefault="00BE33EB" w:rsidP="00D816B6">
            <w:pPr>
              <w:spacing w:before="40"/>
              <w:ind w:left="256" w:hanging="256"/>
              <w:rPr>
                <w:iCs/>
                <w:sz w:val="16"/>
              </w:rPr>
            </w:pPr>
          </w:p>
        </w:tc>
        <w:tc>
          <w:tcPr>
            <w:tcW w:w="295" w:type="pct"/>
            <w:vMerge/>
            <w:vAlign w:val="center"/>
          </w:tcPr>
          <w:p w14:paraId="43DE0252" w14:textId="77777777" w:rsidR="00BE33EB" w:rsidRDefault="00BE33EB" w:rsidP="00D816B6">
            <w:pPr>
              <w:jc w:val="center"/>
            </w:pPr>
          </w:p>
        </w:tc>
        <w:tc>
          <w:tcPr>
            <w:tcW w:w="292" w:type="pct"/>
            <w:vMerge/>
            <w:vAlign w:val="center"/>
          </w:tcPr>
          <w:p w14:paraId="370BE220" w14:textId="77777777" w:rsidR="00BE33EB" w:rsidRDefault="00BE33EB" w:rsidP="00D816B6"/>
        </w:tc>
        <w:tc>
          <w:tcPr>
            <w:tcW w:w="278" w:type="pct"/>
            <w:vMerge/>
            <w:vAlign w:val="center"/>
          </w:tcPr>
          <w:p w14:paraId="5DEEB366" w14:textId="77777777" w:rsidR="00BE33EB" w:rsidRDefault="00BE33EB" w:rsidP="00D816B6"/>
        </w:tc>
        <w:tc>
          <w:tcPr>
            <w:tcW w:w="295" w:type="pct"/>
            <w:vMerge/>
            <w:vAlign w:val="center"/>
          </w:tcPr>
          <w:p w14:paraId="29653EBA" w14:textId="77777777" w:rsidR="00BE33EB" w:rsidRDefault="00BE33EB" w:rsidP="00D816B6"/>
        </w:tc>
        <w:tc>
          <w:tcPr>
            <w:tcW w:w="409" w:type="pct"/>
            <w:vMerge/>
            <w:vAlign w:val="center"/>
          </w:tcPr>
          <w:p w14:paraId="2C2423EA" w14:textId="77777777" w:rsidR="00BE33EB" w:rsidRDefault="00BE33EB" w:rsidP="00D816B6"/>
        </w:tc>
        <w:tc>
          <w:tcPr>
            <w:tcW w:w="415" w:type="pct"/>
            <w:vAlign w:val="center"/>
          </w:tcPr>
          <w:p w14:paraId="01828048" w14:textId="77777777" w:rsidR="00BE33EB" w:rsidRPr="00316445" w:rsidRDefault="00BE33EB" w:rsidP="00D816B6">
            <w:pPr>
              <w:rPr>
                <w:sz w:val="16"/>
                <w:szCs w:val="16"/>
              </w:rPr>
            </w:pPr>
            <w:r w:rsidRPr="00B12BE2">
              <w:rPr>
                <w:sz w:val="20"/>
                <w:szCs w:val="22"/>
              </w:rPr>
              <w:t xml:space="preserve">Fund Code </w:t>
            </w:r>
            <w:r w:rsidRPr="00B12BE2">
              <w:rPr>
                <w:b/>
                <w:bCs/>
                <w:sz w:val="20"/>
                <w:szCs w:val="22"/>
              </w:rPr>
              <w:t>11426</w:t>
            </w:r>
          </w:p>
        </w:tc>
        <w:tc>
          <w:tcPr>
            <w:tcW w:w="337" w:type="pct"/>
            <w:vAlign w:val="center"/>
          </w:tcPr>
          <w:p w14:paraId="06800D72" w14:textId="77777777" w:rsidR="00BE33EB" w:rsidRPr="00316445" w:rsidRDefault="00BE33EB" w:rsidP="00D816B6">
            <w:pPr>
              <w:rPr>
                <w:sz w:val="16"/>
                <w:szCs w:val="16"/>
              </w:rPr>
            </w:pPr>
            <w:r>
              <w:rPr>
                <w:sz w:val="16"/>
                <w:szCs w:val="16"/>
              </w:rPr>
              <w:t>71600</w:t>
            </w:r>
          </w:p>
        </w:tc>
        <w:tc>
          <w:tcPr>
            <w:tcW w:w="657" w:type="pct"/>
          </w:tcPr>
          <w:p w14:paraId="7990863C" w14:textId="77777777" w:rsidR="00BE33EB" w:rsidRDefault="00BE33EB" w:rsidP="00D816B6">
            <w:pPr>
              <w:rPr>
                <w:sz w:val="16"/>
                <w:szCs w:val="16"/>
              </w:rPr>
            </w:pPr>
          </w:p>
          <w:p w14:paraId="1DC217DB" w14:textId="77777777" w:rsidR="009B47D7" w:rsidRDefault="009B47D7" w:rsidP="00D816B6">
            <w:pPr>
              <w:rPr>
                <w:sz w:val="16"/>
                <w:szCs w:val="16"/>
              </w:rPr>
            </w:pPr>
          </w:p>
          <w:p w14:paraId="387A9D7F" w14:textId="2D39CEDF" w:rsidR="00BE33EB" w:rsidRPr="00316445" w:rsidRDefault="00BE33EB" w:rsidP="00D816B6">
            <w:pPr>
              <w:rPr>
                <w:sz w:val="16"/>
                <w:szCs w:val="16"/>
              </w:rPr>
            </w:pPr>
            <w:r>
              <w:rPr>
                <w:sz w:val="16"/>
                <w:szCs w:val="16"/>
              </w:rPr>
              <w:t>9,500</w:t>
            </w:r>
          </w:p>
        </w:tc>
      </w:tr>
      <w:tr w:rsidR="009B47D7" w14:paraId="27052357" w14:textId="77777777" w:rsidTr="009B47D7">
        <w:trPr>
          <w:cantSplit/>
          <w:trHeight w:val="90"/>
        </w:trPr>
        <w:tc>
          <w:tcPr>
            <w:tcW w:w="1123" w:type="pct"/>
            <w:vMerge/>
            <w:shd w:val="clear" w:color="auto" w:fill="CCCCCC"/>
          </w:tcPr>
          <w:p w14:paraId="32050E60" w14:textId="77777777" w:rsidR="00BE33EB" w:rsidRDefault="00BE33EB" w:rsidP="00D816B6"/>
        </w:tc>
        <w:tc>
          <w:tcPr>
            <w:tcW w:w="897" w:type="pct"/>
            <w:tcBorders>
              <w:top w:val="single" w:sz="4" w:space="0" w:color="auto"/>
              <w:bottom w:val="single" w:sz="4" w:space="0" w:color="auto"/>
            </w:tcBorders>
            <w:vAlign w:val="center"/>
          </w:tcPr>
          <w:p w14:paraId="07053472" w14:textId="77777777" w:rsidR="00BE33EB" w:rsidRPr="001E48E2" w:rsidRDefault="00BE33EB" w:rsidP="00D816B6">
            <w:pPr>
              <w:widowControl/>
              <w:ind w:left="256" w:hanging="256"/>
              <w:contextualSpacing/>
              <w:rPr>
                <w:rFonts w:ascii="Arial" w:hAnsi="Arial" w:cs="Arial"/>
                <w:sz w:val="20"/>
              </w:rPr>
            </w:pPr>
            <w:r w:rsidRPr="001E48E2">
              <w:rPr>
                <w:iCs/>
                <w:sz w:val="16"/>
              </w:rPr>
              <w:t xml:space="preserve">1.3 </w:t>
            </w:r>
            <w:r w:rsidRPr="001E48E2">
              <w:rPr>
                <w:rFonts w:cs="Arial"/>
                <w:snapToGrid/>
                <w:sz w:val="20"/>
                <w:lang w:val="en-US"/>
              </w:rPr>
              <w:t xml:space="preserve">Activity </w:t>
            </w:r>
            <w:r w:rsidRPr="001E48E2">
              <w:rPr>
                <w:rFonts w:cs="Arial"/>
                <w:sz w:val="20"/>
                <w:lang w:val="en-US"/>
              </w:rPr>
              <w:t>Identify a repository of marine knowledge and make information available for blue green economy stakeholders</w:t>
            </w:r>
          </w:p>
          <w:p w14:paraId="6DB9BC66" w14:textId="77777777" w:rsidR="00BE33EB" w:rsidRPr="001E48E2" w:rsidRDefault="00BE33EB" w:rsidP="00D816B6">
            <w:pPr>
              <w:spacing w:before="40"/>
              <w:ind w:left="256" w:hanging="256"/>
              <w:rPr>
                <w:lang w:val="en-US"/>
              </w:rPr>
            </w:pPr>
          </w:p>
        </w:tc>
        <w:tc>
          <w:tcPr>
            <w:tcW w:w="295" w:type="pct"/>
            <w:tcBorders>
              <w:top w:val="single" w:sz="4" w:space="0" w:color="auto"/>
              <w:bottom w:val="single" w:sz="4" w:space="0" w:color="auto"/>
            </w:tcBorders>
            <w:vAlign w:val="center"/>
          </w:tcPr>
          <w:p w14:paraId="097D7DBC" w14:textId="77777777" w:rsidR="00BE33EB" w:rsidRDefault="00BE33EB" w:rsidP="00D816B6">
            <w:pPr>
              <w:jc w:val="center"/>
            </w:pPr>
            <w:r>
              <w:t>X</w:t>
            </w:r>
          </w:p>
        </w:tc>
        <w:tc>
          <w:tcPr>
            <w:tcW w:w="292" w:type="pct"/>
            <w:tcBorders>
              <w:top w:val="single" w:sz="4" w:space="0" w:color="auto"/>
              <w:bottom w:val="single" w:sz="4" w:space="0" w:color="auto"/>
            </w:tcBorders>
            <w:vAlign w:val="center"/>
          </w:tcPr>
          <w:p w14:paraId="2E4D3F55" w14:textId="77777777" w:rsidR="00BE33EB" w:rsidRDefault="00BE33EB" w:rsidP="00D816B6"/>
        </w:tc>
        <w:tc>
          <w:tcPr>
            <w:tcW w:w="278" w:type="pct"/>
            <w:tcBorders>
              <w:top w:val="single" w:sz="4" w:space="0" w:color="auto"/>
              <w:bottom w:val="single" w:sz="4" w:space="0" w:color="auto"/>
            </w:tcBorders>
            <w:vAlign w:val="center"/>
          </w:tcPr>
          <w:p w14:paraId="648375E5" w14:textId="77777777" w:rsidR="00BE33EB" w:rsidRDefault="00BE33EB" w:rsidP="00D816B6"/>
        </w:tc>
        <w:tc>
          <w:tcPr>
            <w:tcW w:w="295" w:type="pct"/>
            <w:tcBorders>
              <w:top w:val="single" w:sz="4" w:space="0" w:color="auto"/>
              <w:bottom w:val="single" w:sz="4" w:space="0" w:color="auto"/>
            </w:tcBorders>
            <w:vAlign w:val="center"/>
          </w:tcPr>
          <w:p w14:paraId="224EC01D" w14:textId="77777777" w:rsidR="00BE33EB" w:rsidRDefault="00BE33EB" w:rsidP="00D816B6"/>
        </w:tc>
        <w:tc>
          <w:tcPr>
            <w:tcW w:w="409" w:type="pct"/>
            <w:tcBorders>
              <w:top w:val="single" w:sz="4" w:space="0" w:color="auto"/>
              <w:bottom w:val="single" w:sz="4" w:space="0" w:color="auto"/>
            </w:tcBorders>
            <w:vAlign w:val="center"/>
          </w:tcPr>
          <w:p w14:paraId="422CDDEB" w14:textId="77777777" w:rsidR="00BE33EB" w:rsidRDefault="00BE33EB" w:rsidP="00D816B6">
            <w:r w:rsidRPr="00B12BE2">
              <w:rPr>
                <w:sz w:val="16"/>
                <w:szCs w:val="18"/>
              </w:rPr>
              <w:t>001981/00012</w:t>
            </w:r>
          </w:p>
        </w:tc>
        <w:tc>
          <w:tcPr>
            <w:tcW w:w="415" w:type="pct"/>
            <w:tcBorders>
              <w:top w:val="single" w:sz="4" w:space="0" w:color="auto"/>
              <w:bottom w:val="single" w:sz="4" w:space="0" w:color="auto"/>
            </w:tcBorders>
            <w:vAlign w:val="center"/>
          </w:tcPr>
          <w:p w14:paraId="4E4A61DA" w14:textId="77777777" w:rsidR="00BE33EB" w:rsidRDefault="00BE33EB" w:rsidP="00D816B6">
            <w:r w:rsidRPr="00B12BE2">
              <w:rPr>
                <w:sz w:val="20"/>
                <w:szCs w:val="22"/>
              </w:rPr>
              <w:t xml:space="preserve">Fund Code </w:t>
            </w:r>
            <w:r w:rsidRPr="00B12BE2">
              <w:rPr>
                <w:b/>
                <w:bCs/>
                <w:sz w:val="20"/>
                <w:szCs w:val="22"/>
              </w:rPr>
              <w:t>11426</w:t>
            </w:r>
          </w:p>
        </w:tc>
        <w:tc>
          <w:tcPr>
            <w:tcW w:w="337" w:type="pct"/>
            <w:tcBorders>
              <w:top w:val="single" w:sz="4" w:space="0" w:color="auto"/>
              <w:bottom w:val="single" w:sz="4" w:space="0" w:color="auto"/>
            </w:tcBorders>
            <w:vAlign w:val="center"/>
          </w:tcPr>
          <w:p w14:paraId="1698CE1A" w14:textId="77777777" w:rsidR="00BE33EB" w:rsidRPr="00B12BE2" w:rsidRDefault="00BE33EB" w:rsidP="00D816B6">
            <w:pPr>
              <w:rPr>
                <w:sz w:val="16"/>
                <w:szCs w:val="16"/>
              </w:rPr>
            </w:pPr>
            <w:r w:rsidRPr="00B12BE2">
              <w:rPr>
                <w:sz w:val="16"/>
                <w:szCs w:val="16"/>
              </w:rPr>
              <w:t>71300</w:t>
            </w:r>
          </w:p>
        </w:tc>
        <w:tc>
          <w:tcPr>
            <w:tcW w:w="657" w:type="pct"/>
            <w:tcBorders>
              <w:top w:val="single" w:sz="4" w:space="0" w:color="auto"/>
              <w:bottom w:val="single" w:sz="4" w:space="0" w:color="auto"/>
            </w:tcBorders>
          </w:tcPr>
          <w:p w14:paraId="7F27701E" w14:textId="77777777" w:rsidR="00BE33EB" w:rsidRPr="00B12BE2" w:rsidRDefault="00BE33EB" w:rsidP="00D816B6">
            <w:pPr>
              <w:rPr>
                <w:sz w:val="16"/>
                <w:szCs w:val="16"/>
              </w:rPr>
            </w:pPr>
            <w:r w:rsidRPr="00B12BE2">
              <w:rPr>
                <w:sz w:val="16"/>
                <w:szCs w:val="16"/>
              </w:rPr>
              <w:t>12,000.00</w:t>
            </w:r>
          </w:p>
        </w:tc>
      </w:tr>
      <w:tr w:rsidR="009B47D7" w14:paraId="00ADA17A" w14:textId="77777777" w:rsidTr="009B47D7">
        <w:trPr>
          <w:cantSplit/>
          <w:trHeight w:val="378"/>
        </w:trPr>
        <w:tc>
          <w:tcPr>
            <w:tcW w:w="1123" w:type="pct"/>
            <w:vMerge/>
            <w:shd w:val="clear" w:color="auto" w:fill="CCCCCC"/>
          </w:tcPr>
          <w:p w14:paraId="0B297E93" w14:textId="77777777" w:rsidR="00BE33EB" w:rsidRDefault="00BE33EB" w:rsidP="00D816B6"/>
        </w:tc>
        <w:tc>
          <w:tcPr>
            <w:tcW w:w="897" w:type="pct"/>
            <w:tcBorders>
              <w:top w:val="single" w:sz="4" w:space="0" w:color="auto"/>
              <w:bottom w:val="single" w:sz="4" w:space="0" w:color="auto"/>
            </w:tcBorders>
          </w:tcPr>
          <w:p w14:paraId="51E98932" w14:textId="77777777" w:rsidR="00BE33EB" w:rsidRPr="001E48E2" w:rsidRDefault="00BE33EB" w:rsidP="00D816B6">
            <w:pPr>
              <w:widowControl/>
              <w:ind w:left="256" w:hanging="256"/>
              <w:contextualSpacing/>
              <w:rPr>
                <w:rFonts w:ascii="Arial" w:hAnsi="Arial" w:cs="Arial"/>
                <w:sz w:val="20"/>
              </w:rPr>
            </w:pPr>
            <w:r w:rsidRPr="001E48E2">
              <w:rPr>
                <w:iCs/>
                <w:sz w:val="16"/>
              </w:rPr>
              <w:t>1</w:t>
            </w:r>
            <w:r w:rsidRPr="001E48E2">
              <w:rPr>
                <w:rFonts w:cs="Arial"/>
                <w:sz w:val="20"/>
                <w:lang w:val="en-US"/>
              </w:rPr>
              <w:t>.4 Prioritize blue green growth in the marine and maritime sectors and incorporate innovation</w:t>
            </w:r>
          </w:p>
          <w:p w14:paraId="07411B0F" w14:textId="77777777" w:rsidR="00BE33EB" w:rsidRPr="001E48E2" w:rsidRDefault="00BE33EB" w:rsidP="00D816B6">
            <w:pPr>
              <w:spacing w:before="60"/>
              <w:rPr>
                <w:iCs/>
                <w:sz w:val="16"/>
                <w:lang w:val="en-US"/>
              </w:rPr>
            </w:pPr>
          </w:p>
        </w:tc>
        <w:tc>
          <w:tcPr>
            <w:tcW w:w="295" w:type="pct"/>
            <w:tcBorders>
              <w:top w:val="single" w:sz="4" w:space="0" w:color="auto"/>
              <w:bottom w:val="single" w:sz="4" w:space="0" w:color="auto"/>
            </w:tcBorders>
            <w:vAlign w:val="center"/>
          </w:tcPr>
          <w:p w14:paraId="67B7C465" w14:textId="77777777" w:rsidR="00BE33EB" w:rsidRDefault="00BE33EB" w:rsidP="00D816B6">
            <w:pPr>
              <w:jc w:val="center"/>
            </w:pPr>
            <w:r>
              <w:t>X</w:t>
            </w:r>
          </w:p>
        </w:tc>
        <w:tc>
          <w:tcPr>
            <w:tcW w:w="292" w:type="pct"/>
            <w:tcBorders>
              <w:top w:val="single" w:sz="4" w:space="0" w:color="auto"/>
              <w:bottom w:val="single" w:sz="4" w:space="0" w:color="auto"/>
            </w:tcBorders>
            <w:vAlign w:val="center"/>
          </w:tcPr>
          <w:p w14:paraId="0FF64E81" w14:textId="77777777" w:rsidR="00BE33EB" w:rsidRDefault="00BE33EB" w:rsidP="00D816B6"/>
        </w:tc>
        <w:tc>
          <w:tcPr>
            <w:tcW w:w="278" w:type="pct"/>
            <w:tcBorders>
              <w:top w:val="single" w:sz="4" w:space="0" w:color="auto"/>
              <w:bottom w:val="single" w:sz="4" w:space="0" w:color="auto"/>
            </w:tcBorders>
            <w:vAlign w:val="center"/>
          </w:tcPr>
          <w:p w14:paraId="772E6F58" w14:textId="77777777" w:rsidR="00BE33EB" w:rsidRDefault="00BE33EB" w:rsidP="00D816B6"/>
        </w:tc>
        <w:tc>
          <w:tcPr>
            <w:tcW w:w="295" w:type="pct"/>
            <w:tcBorders>
              <w:top w:val="single" w:sz="4" w:space="0" w:color="auto"/>
              <w:bottom w:val="single" w:sz="4" w:space="0" w:color="auto"/>
            </w:tcBorders>
            <w:vAlign w:val="center"/>
          </w:tcPr>
          <w:p w14:paraId="4B7283EC" w14:textId="77777777" w:rsidR="00BE33EB" w:rsidRDefault="00BE33EB" w:rsidP="00D816B6"/>
        </w:tc>
        <w:tc>
          <w:tcPr>
            <w:tcW w:w="409" w:type="pct"/>
            <w:tcBorders>
              <w:top w:val="single" w:sz="4" w:space="0" w:color="auto"/>
              <w:bottom w:val="single" w:sz="4" w:space="0" w:color="auto"/>
            </w:tcBorders>
            <w:vAlign w:val="center"/>
          </w:tcPr>
          <w:p w14:paraId="033BBF71" w14:textId="77777777" w:rsidR="00BE33EB" w:rsidRDefault="00BE33EB" w:rsidP="00D816B6">
            <w:r w:rsidRPr="00B12BE2">
              <w:rPr>
                <w:sz w:val="16"/>
                <w:szCs w:val="18"/>
              </w:rPr>
              <w:t>001981/00012</w:t>
            </w:r>
          </w:p>
        </w:tc>
        <w:tc>
          <w:tcPr>
            <w:tcW w:w="415" w:type="pct"/>
            <w:tcBorders>
              <w:top w:val="single" w:sz="4" w:space="0" w:color="auto"/>
              <w:bottom w:val="single" w:sz="4" w:space="0" w:color="auto"/>
            </w:tcBorders>
            <w:vAlign w:val="center"/>
          </w:tcPr>
          <w:p w14:paraId="262C0933" w14:textId="77777777" w:rsidR="00BE33EB" w:rsidRDefault="00BE33EB" w:rsidP="00D816B6">
            <w:r w:rsidRPr="00B12BE2">
              <w:rPr>
                <w:sz w:val="20"/>
                <w:szCs w:val="22"/>
              </w:rPr>
              <w:t xml:space="preserve">Fund Code </w:t>
            </w:r>
            <w:r w:rsidRPr="00B12BE2">
              <w:rPr>
                <w:b/>
                <w:bCs/>
                <w:sz w:val="20"/>
                <w:szCs w:val="22"/>
              </w:rPr>
              <w:t>11426</w:t>
            </w:r>
          </w:p>
        </w:tc>
        <w:tc>
          <w:tcPr>
            <w:tcW w:w="337" w:type="pct"/>
            <w:tcBorders>
              <w:top w:val="single" w:sz="4" w:space="0" w:color="auto"/>
              <w:bottom w:val="single" w:sz="4" w:space="0" w:color="auto"/>
            </w:tcBorders>
            <w:vAlign w:val="center"/>
          </w:tcPr>
          <w:p w14:paraId="0269B762" w14:textId="77777777" w:rsidR="00BE33EB" w:rsidRPr="00B12BE2" w:rsidRDefault="00BE33EB" w:rsidP="00D816B6">
            <w:pPr>
              <w:spacing w:after="60"/>
              <w:rPr>
                <w:sz w:val="16"/>
                <w:szCs w:val="16"/>
              </w:rPr>
            </w:pPr>
            <w:r w:rsidRPr="00B12BE2">
              <w:rPr>
                <w:sz w:val="16"/>
                <w:szCs w:val="16"/>
              </w:rPr>
              <w:t>71300</w:t>
            </w:r>
          </w:p>
        </w:tc>
        <w:tc>
          <w:tcPr>
            <w:tcW w:w="657" w:type="pct"/>
            <w:tcBorders>
              <w:top w:val="single" w:sz="4" w:space="0" w:color="auto"/>
              <w:bottom w:val="single" w:sz="4" w:space="0" w:color="auto"/>
            </w:tcBorders>
          </w:tcPr>
          <w:p w14:paraId="2CACEA84" w14:textId="77777777" w:rsidR="00BE33EB" w:rsidRPr="00B12BE2" w:rsidRDefault="00BE33EB" w:rsidP="00D816B6">
            <w:pPr>
              <w:spacing w:after="60"/>
              <w:rPr>
                <w:sz w:val="16"/>
                <w:szCs w:val="16"/>
              </w:rPr>
            </w:pPr>
            <w:r w:rsidRPr="00B12BE2">
              <w:rPr>
                <w:sz w:val="16"/>
                <w:szCs w:val="16"/>
              </w:rPr>
              <w:t>12,000.00</w:t>
            </w:r>
          </w:p>
        </w:tc>
      </w:tr>
      <w:tr w:rsidR="009B47D7" w14:paraId="608FF83F" w14:textId="77777777" w:rsidTr="009B47D7">
        <w:trPr>
          <w:cantSplit/>
          <w:trHeight w:val="378"/>
        </w:trPr>
        <w:tc>
          <w:tcPr>
            <w:tcW w:w="1123" w:type="pct"/>
            <w:vMerge/>
            <w:shd w:val="clear" w:color="auto" w:fill="CCCCCC"/>
          </w:tcPr>
          <w:p w14:paraId="20186F6F" w14:textId="77777777" w:rsidR="00BE33EB" w:rsidRDefault="00BE33EB" w:rsidP="00D816B6"/>
        </w:tc>
        <w:tc>
          <w:tcPr>
            <w:tcW w:w="897" w:type="pct"/>
            <w:tcBorders>
              <w:top w:val="single" w:sz="4" w:space="0" w:color="auto"/>
              <w:bottom w:val="single" w:sz="4" w:space="0" w:color="auto"/>
            </w:tcBorders>
          </w:tcPr>
          <w:p w14:paraId="6477ABF2" w14:textId="77777777" w:rsidR="00BE33EB" w:rsidRDefault="00BE33EB" w:rsidP="00D816B6">
            <w:pPr>
              <w:spacing w:before="60"/>
              <w:ind w:left="346" w:hanging="360"/>
              <w:rPr>
                <w:iCs/>
                <w:sz w:val="16"/>
              </w:rPr>
            </w:pPr>
            <w:r>
              <w:rPr>
                <w:iCs/>
                <w:sz w:val="16"/>
              </w:rPr>
              <w:t>1.5</w:t>
            </w:r>
            <w:r w:rsidRPr="00631C95">
              <w:rPr>
                <w:rFonts w:cs="Arial"/>
                <w:sz w:val="20"/>
              </w:rPr>
              <w:t xml:space="preserve"> </w:t>
            </w:r>
            <w:r>
              <w:rPr>
                <w:rFonts w:cs="Arial"/>
                <w:sz w:val="20"/>
              </w:rPr>
              <w:t xml:space="preserve">   </w:t>
            </w:r>
            <w:r w:rsidRPr="001E48E2">
              <w:rPr>
                <w:rFonts w:cs="Arial"/>
                <w:snapToGrid/>
                <w:sz w:val="20"/>
                <w:lang w:val="en-US"/>
              </w:rPr>
              <w:t>Identify priorities for innovative financing instruments for blue green economy, including aspects for bankability</w:t>
            </w:r>
          </w:p>
        </w:tc>
        <w:tc>
          <w:tcPr>
            <w:tcW w:w="295" w:type="pct"/>
            <w:tcBorders>
              <w:top w:val="single" w:sz="4" w:space="0" w:color="auto"/>
              <w:bottom w:val="single" w:sz="4" w:space="0" w:color="auto"/>
            </w:tcBorders>
            <w:vAlign w:val="center"/>
          </w:tcPr>
          <w:p w14:paraId="5E0C5836" w14:textId="77777777" w:rsidR="00BE33EB" w:rsidRDefault="00BE33EB" w:rsidP="00D816B6">
            <w:pPr>
              <w:jc w:val="center"/>
            </w:pPr>
            <w:r>
              <w:t>X</w:t>
            </w:r>
          </w:p>
        </w:tc>
        <w:tc>
          <w:tcPr>
            <w:tcW w:w="292" w:type="pct"/>
            <w:tcBorders>
              <w:top w:val="single" w:sz="4" w:space="0" w:color="auto"/>
              <w:bottom w:val="single" w:sz="4" w:space="0" w:color="auto"/>
            </w:tcBorders>
            <w:vAlign w:val="center"/>
          </w:tcPr>
          <w:p w14:paraId="1AA10A5A" w14:textId="77777777" w:rsidR="00BE33EB" w:rsidRDefault="00BE33EB" w:rsidP="00D816B6"/>
        </w:tc>
        <w:tc>
          <w:tcPr>
            <w:tcW w:w="278" w:type="pct"/>
            <w:tcBorders>
              <w:top w:val="single" w:sz="4" w:space="0" w:color="auto"/>
              <w:bottom w:val="single" w:sz="4" w:space="0" w:color="auto"/>
            </w:tcBorders>
            <w:vAlign w:val="center"/>
          </w:tcPr>
          <w:p w14:paraId="2F16E667" w14:textId="77777777" w:rsidR="00BE33EB" w:rsidRDefault="00BE33EB" w:rsidP="00D816B6"/>
        </w:tc>
        <w:tc>
          <w:tcPr>
            <w:tcW w:w="295" w:type="pct"/>
            <w:tcBorders>
              <w:top w:val="single" w:sz="4" w:space="0" w:color="auto"/>
              <w:bottom w:val="single" w:sz="4" w:space="0" w:color="auto"/>
            </w:tcBorders>
            <w:vAlign w:val="center"/>
          </w:tcPr>
          <w:p w14:paraId="1C91D0BE" w14:textId="77777777" w:rsidR="00BE33EB" w:rsidRDefault="00BE33EB" w:rsidP="00D816B6"/>
        </w:tc>
        <w:tc>
          <w:tcPr>
            <w:tcW w:w="409" w:type="pct"/>
            <w:tcBorders>
              <w:top w:val="single" w:sz="4" w:space="0" w:color="auto"/>
              <w:bottom w:val="single" w:sz="4" w:space="0" w:color="auto"/>
            </w:tcBorders>
            <w:vAlign w:val="center"/>
          </w:tcPr>
          <w:p w14:paraId="2101BBE7" w14:textId="77777777" w:rsidR="00BE33EB" w:rsidRDefault="00BE33EB" w:rsidP="00D816B6">
            <w:r w:rsidRPr="00B12BE2">
              <w:rPr>
                <w:sz w:val="16"/>
                <w:szCs w:val="18"/>
              </w:rPr>
              <w:t>001981/00012</w:t>
            </w:r>
          </w:p>
        </w:tc>
        <w:tc>
          <w:tcPr>
            <w:tcW w:w="415" w:type="pct"/>
            <w:tcBorders>
              <w:top w:val="single" w:sz="4" w:space="0" w:color="auto"/>
              <w:bottom w:val="single" w:sz="4" w:space="0" w:color="auto"/>
            </w:tcBorders>
            <w:vAlign w:val="center"/>
          </w:tcPr>
          <w:p w14:paraId="5A924D35" w14:textId="77777777" w:rsidR="00BE33EB" w:rsidRDefault="00BE33EB" w:rsidP="00D816B6">
            <w:r w:rsidRPr="00B12BE2">
              <w:rPr>
                <w:sz w:val="20"/>
                <w:szCs w:val="22"/>
              </w:rPr>
              <w:t xml:space="preserve">Fund Code </w:t>
            </w:r>
            <w:r w:rsidRPr="00B12BE2">
              <w:rPr>
                <w:b/>
                <w:bCs/>
                <w:sz w:val="20"/>
                <w:szCs w:val="22"/>
              </w:rPr>
              <w:t>11426</w:t>
            </w:r>
          </w:p>
        </w:tc>
        <w:tc>
          <w:tcPr>
            <w:tcW w:w="337" w:type="pct"/>
            <w:tcBorders>
              <w:top w:val="single" w:sz="4" w:space="0" w:color="auto"/>
              <w:bottom w:val="single" w:sz="4" w:space="0" w:color="auto"/>
            </w:tcBorders>
            <w:vAlign w:val="center"/>
          </w:tcPr>
          <w:p w14:paraId="39A8BE40" w14:textId="77777777" w:rsidR="00BE33EB" w:rsidRPr="00B12BE2" w:rsidRDefault="00BE33EB" w:rsidP="00D816B6">
            <w:pPr>
              <w:spacing w:after="60"/>
              <w:rPr>
                <w:sz w:val="16"/>
                <w:szCs w:val="16"/>
              </w:rPr>
            </w:pPr>
            <w:r w:rsidRPr="00B12BE2">
              <w:rPr>
                <w:sz w:val="16"/>
                <w:szCs w:val="16"/>
              </w:rPr>
              <w:t>71300</w:t>
            </w:r>
          </w:p>
        </w:tc>
        <w:tc>
          <w:tcPr>
            <w:tcW w:w="657" w:type="pct"/>
            <w:tcBorders>
              <w:top w:val="single" w:sz="4" w:space="0" w:color="auto"/>
              <w:bottom w:val="single" w:sz="4" w:space="0" w:color="auto"/>
            </w:tcBorders>
          </w:tcPr>
          <w:p w14:paraId="1997687B" w14:textId="77777777" w:rsidR="00BE33EB" w:rsidRPr="00B12BE2" w:rsidRDefault="00BE33EB" w:rsidP="00D816B6">
            <w:pPr>
              <w:spacing w:after="60"/>
              <w:rPr>
                <w:sz w:val="16"/>
                <w:szCs w:val="16"/>
              </w:rPr>
            </w:pPr>
            <w:r w:rsidRPr="00B12BE2">
              <w:rPr>
                <w:sz w:val="16"/>
                <w:szCs w:val="16"/>
              </w:rPr>
              <w:t>12,000.00</w:t>
            </w:r>
          </w:p>
        </w:tc>
      </w:tr>
      <w:tr w:rsidR="009B47D7" w14:paraId="35FBD7B7" w14:textId="77777777" w:rsidTr="009B47D7">
        <w:trPr>
          <w:cantSplit/>
          <w:trHeight w:val="378"/>
        </w:trPr>
        <w:tc>
          <w:tcPr>
            <w:tcW w:w="1123" w:type="pct"/>
            <w:vMerge/>
            <w:shd w:val="clear" w:color="auto" w:fill="CCCCCC"/>
          </w:tcPr>
          <w:p w14:paraId="0E336042" w14:textId="77777777" w:rsidR="00BE33EB" w:rsidRDefault="00BE33EB" w:rsidP="00D816B6"/>
        </w:tc>
        <w:tc>
          <w:tcPr>
            <w:tcW w:w="897" w:type="pct"/>
            <w:tcBorders>
              <w:top w:val="single" w:sz="4" w:space="0" w:color="auto"/>
              <w:bottom w:val="single" w:sz="4" w:space="0" w:color="auto"/>
            </w:tcBorders>
          </w:tcPr>
          <w:p w14:paraId="64006F82" w14:textId="77777777" w:rsidR="00BE33EB" w:rsidRPr="001E48E2" w:rsidRDefault="00BE33EB" w:rsidP="00D816B6">
            <w:pPr>
              <w:widowControl/>
              <w:ind w:left="256" w:hanging="256"/>
              <w:contextualSpacing/>
              <w:rPr>
                <w:rFonts w:cs="Arial"/>
                <w:sz w:val="20"/>
                <w:lang w:val="en-US"/>
              </w:rPr>
            </w:pPr>
            <w:r w:rsidRPr="001E48E2">
              <w:rPr>
                <w:rFonts w:cs="Arial"/>
                <w:snapToGrid/>
                <w:sz w:val="20"/>
                <w:lang w:val="en-US"/>
              </w:rPr>
              <w:t>1.6</w:t>
            </w:r>
            <w:r w:rsidRPr="001E48E2">
              <w:rPr>
                <w:rFonts w:cs="Arial"/>
                <w:sz w:val="20"/>
                <w:lang w:val="en-US"/>
              </w:rPr>
              <w:t xml:space="preserve"> Co-design with the actors a ‘Blue Green Process’ based on above steps </w:t>
            </w:r>
          </w:p>
          <w:p w14:paraId="7FC2BC84" w14:textId="77777777" w:rsidR="00BE33EB" w:rsidRPr="001E48E2" w:rsidRDefault="00BE33EB" w:rsidP="00D816B6">
            <w:pPr>
              <w:spacing w:before="60"/>
              <w:rPr>
                <w:iCs/>
                <w:sz w:val="16"/>
                <w:lang w:val="en-US"/>
              </w:rPr>
            </w:pPr>
          </w:p>
        </w:tc>
        <w:tc>
          <w:tcPr>
            <w:tcW w:w="295" w:type="pct"/>
            <w:tcBorders>
              <w:top w:val="single" w:sz="4" w:space="0" w:color="auto"/>
              <w:bottom w:val="single" w:sz="4" w:space="0" w:color="auto"/>
            </w:tcBorders>
            <w:vAlign w:val="center"/>
          </w:tcPr>
          <w:p w14:paraId="6CC7228A" w14:textId="77777777" w:rsidR="00BE33EB" w:rsidRDefault="00BE33EB" w:rsidP="00D816B6">
            <w:pPr>
              <w:jc w:val="center"/>
            </w:pPr>
            <w:r>
              <w:t>X</w:t>
            </w:r>
          </w:p>
        </w:tc>
        <w:tc>
          <w:tcPr>
            <w:tcW w:w="292" w:type="pct"/>
            <w:tcBorders>
              <w:top w:val="single" w:sz="4" w:space="0" w:color="auto"/>
              <w:bottom w:val="single" w:sz="4" w:space="0" w:color="auto"/>
            </w:tcBorders>
            <w:vAlign w:val="center"/>
          </w:tcPr>
          <w:p w14:paraId="2E84FB73" w14:textId="77777777" w:rsidR="00BE33EB" w:rsidRDefault="00BE33EB" w:rsidP="00D816B6"/>
        </w:tc>
        <w:tc>
          <w:tcPr>
            <w:tcW w:w="278" w:type="pct"/>
            <w:tcBorders>
              <w:top w:val="single" w:sz="4" w:space="0" w:color="auto"/>
              <w:bottom w:val="single" w:sz="4" w:space="0" w:color="auto"/>
            </w:tcBorders>
            <w:vAlign w:val="center"/>
          </w:tcPr>
          <w:p w14:paraId="3EAF333C" w14:textId="77777777" w:rsidR="00BE33EB" w:rsidRDefault="00BE33EB" w:rsidP="00D816B6"/>
        </w:tc>
        <w:tc>
          <w:tcPr>
            <w:tcW w:w="295" w:type="pct"/>
            <w:tcBorders>
              <w:top w:val="single" w:sz="4" w:space="0" w:color="auto"/>
              <w:bottom w:val="single" w:sz="4" w:space="0" w:color="auto"/>
            </w:tcBorders>
            <w:vAlign w:val="center"/>
          </w:tcPr>
          <w:p w14:paraId="624D5112" w14:textId="77777777" w:rsidR="00BE33EB" w:rsidRDefault="00BE33EB" w:rsidP="00D816B6"/>
        </w:tc>
        <w:tc>
          <w:tcPr>
            <w:tcW w:w="409" w:type="pct"/>
            <w:tcBorders>
              <w:top w:val="single" w:sz="4" w:space="0" w:color="auto"/>
              <w:bottom w:val="single" w:sz="4" w:space="0" w:color="auto"/>
            </w:tcBorders>
            <w:vAlign w:val="center"/>
          </w:tcPr>
          <w:p w14:paraId="4B2C1C4B" w14:textId="77777777" w:rsidR="00BE33EB" w:rsidRDefault="00BE33EB" w:rsidP="00D816B6">
            <w:r w:rsidRPr="00B12BE2">
              <w:rPr>
                <w:sz w:val="16"/>
                <w:szCs w:val="18"/>
              </w:rPr>
              <w:t>001981/00012</w:t>
            </w:r>
          </w:p>
        </w:tc>
        <w:tc>
          <w:tcPr>
            <w:tcW w:w="415" w:type="pct"/>
            <w:tcBorders>
              <w:top w:val="single" w:sz="4" w:space="0" w:color="auto"/>
              <w:bottom w:val="single" w:sz="4" w:space="0" w:color="auto"/>
            </w:tcBorders>
            <w:vAlign w:val="center"/>
          </w:tcPr>
          <w:p w14:paraId="764653A4" w14:textId="77777777" w:rsidR="00BE33EB" w:rsidRDefault="00BE33EB" w:rsidP="00D816B6">
            <w:r w:rsidRPr="00B12BE2">
              <w:rPr>
                <w:sz w:val="20"/>
                <w:szCs w:val="22"/>
              </w:rPr>
              <w:t xml:space="preserve">Fund Code </w:t>
            </w:r>
            <w:r w:rsidRPr="00B12BE2">
              <w:rPr>
                <w:b/>
                <w:bCs/>
                <w:sz w:val="20"/>
                <w:szCs w:val="22"/>
              </w:rPr>
              <w:t>11426</w:t>
            </w:r>
          </w:p>
        </w:tc>
        <w:tc>
          <w:tcPr>
            <w:tcW w:w="337" w:type="pct"/>
            <w:tcBorders>
              <w:top w:val="single" w:sz="4" w:space="0" w:color="auto"/>
              <w:bottom w:val="single" w:sz="4" w:space="0" w:color="auto"/>
            </w:tcBorders>
            <w:vAlign w:val="center"/>
          </w:tcPr>
          <w:p w14:paraId="0303B816" w14:textId="77777777" w:rsidR="00BE33EB" w:rsidRPr="00B12BE2" w:rsidRDefault="00BE33EB" w:rsidP="00D816B6">
            <w:pPr>
              <w:spacing w:after="60"/>
              <w:rPr>
                <w:sz w:val="16"/>
                <w:szCs w:val="16"/>
              </w:rPr>
            </w:pPr>
            <w:r w:rsidRPr="00B12BE2">
              <w:rPr>
                <w:sz w:val="16"/>
                <w:szCs w:val="16"/>
              </w:rPr>
              <w:t>71300</w:t>
            </w:r>
          </w:p>
        </w:tc>
        <w:tc>
          <w:tcPr>
            <w:tcW w:w="657" w:type="pct"/>
            <w:tcBorders>
              <w:top w:val="single" w:sz="4" w:space="0" w:color="auto"/>
              <w:bottom w:val="single" w:sz="4" w:space="0" w:color="auto"/>
            </w:tcBorders>
          </w:tcPr>
          <w:p w14:paraId="40B9E10F" w14:textId="77777777" w:rsidR="00BE33EB" w:rsidRPr="00B12BE2" w:rsidRDefault="00BE33EB" w:rsidP="00D816B6">
            <w:pPr>
              <w:spacing w:after="60"/>
              <w:rPr>
                <w:sz w:val="16"/>
                <w:szCs w:val="16"/>
              </w:rPr>
            </w:pPr>
            <w:r w:rsidRPr="00B12BE2">
              <w:rPr>
                <w:sz w:val="16"/>
                <w:szCs w:val="16"/>
              </w:rPr>
              <w:t>12,000.00</w:t>
            </w:r>
          </w:p>
        </w:tc>
      </w:tr>
      <w:tr w:rsidR="009B47D7" w14:paraId="1A85BCDF" w14:textId="77777777" w:rsidTr="009B47D7">
        <w:trPr>
          <w:cantSplit/>
          <w:trHeight w:val="378"/>
        </w:trPr>
        <w:tc>
          <w:tcPr>
            <w:tcW w:w="1123" w:type="pct"/>
            <w:vMerge/>
            <w:shd w:val="clear" w:color="auto" w:fill="CCCCCC"/>
          </w:tcPr>
          <w:p w14:paraId="198F5B1A" w14:textId="77777777" w:rsidR="00BE33EB" w:rsidRDefault="00BE33EB" w:rsidP="00D816B6"/>
        </w:tc>
        <w:tc>
          <w:tcPr>
            <w:tcW w:w="897" w:type="pct"/>
            <w:tcBorders>
              <w:top w:val="single" w:sz="4" w:space="0" w:color="auto"/>
              <w:bottom w:val="single" w:sz="4" w:space="0" w:color="auto"/>
            </w:tcBorders>
          </w:tcPr>
          <w:p w14:paraId="2BA6C332" w14:textId="77777777" w:rsidR="00BE33EB" w:rsidRPr="001E48E2" w:rsidRDefault="00BE33EB" w:rsidP="00D816B6">
            <w:pPr>
              <w:widowControl/>
              <w:ind w:left="256" w:hanging="256"/>
              <w:contextualSpacing/>
              <w:rPr>
                <w:rFonts w:ascii="Arial" w:hAnsi="Arial" w:cs="Arial"/>
                <w:sz w:val="20"/>
              </w:rPr>
            </w:pPr>
            <w:r w:rsidRPr="001E48E2">
              <w:rPr>
                <w:iCs/>
                <w:sz w:val="16"/>
              </w:rPr>
              <w:t xml:space="preserve">1.7 </w:t>
            </w:r>
            <w:r w:rsidRPr="001E48E2">
              <w:rPr>
                <w:rFonts w:cs="Arial"/>
                <w:sz w:val="20"/>
                <w:lang w:val="en-US"/>
              </w:rPr>
              <w:t>Co-design with the actors and support the government to include within the Oceans National Policy a Blue Green Economy Strategy for Panama that considers national and local levels</w:t>
            </w:r>
          </w:p>
          <w:p w14:paraId="379B2B55" w14:textId="77777777" w:rsidR="00BE33EB" w:rsidRPr="001E48E2" w:rsidRDefault="00BE33EB" w:rsidP="00D816B6">
            <w:pPr>
              <w:spacing w:before="60"/>
              <w:rPr>
                <w:iCs/>
                <w:sz w:val="16"/>
                <w:lang w:val="en-US"/>
              </w:rPr>
            </w:pPr>
          </w:p>
        </w:tc>
        <w:tc>
          <w:tcPr>
            <w:tcW w:w="295" w:type="pct"/>
            <w:tcBorders>
              <w:top w:val="single" w:sz="4" w:space="0" w:color="auto"/>
              <w:bottom w:val="single" w:sz="4" w:space="0" w:color="auto"/>
            </w:tcBorders>
            <w:vAlign w:val="center"/>
          </w:tcPr>
          <w:p w14:paraId="56DA315F" w14:textId="77777777" w:rsidR="00BE33EB" w:rsidRDefault="00BE33EB" w:rsidP="00D816B6">
            <w:pPr>
              <w:jc w:val="center"/>
            </w:pPr>
            <w:r>
              <w:t>X</w:t>
            </w:r>
          </w:p>
        </w:tc>
        <w:tc>
          <w:tcPr>
            <w:tcW w:w="292" w:type="pct"/>
            <w:tcBorders>
              <w:top w:val="single" w:sz="4" w:space="0" w:color="auto"/>
              <w:bottom w:val="single" w:sz="4" w:space="0" w:color="auto"/>
            </w:tcBorders>
            <w:vAlign w:val="center"/>
          </w:tcPr>
          <w:p w14:paraId="0BA4ED05" w14:textId="77777777" w:rsidR="00BE33EB" w:rsidRDefault="00BE33EB" w:rsidP="00D816B6"/>
        </w:tc>
        <w:tc>
          <w:tcPr>
            <w:tcW w:w="278" w:type="pct"/>
            <w:tcBorders>
              <w:top w:val="single" w:sz="4" w:space="0" w:color="auto"/>
              <w:bottom w:val="single" w:sz="4" w:space="0" w:color="auto"/>
            </w:tcBorders>
            <w:vAlign w:val="center"/>
          </w:tcPr>
          <w:p w14:paraId="512594AF" w14:textId="77777777" w:rsidR="00BE33EB" w:rsidRDefault="00BE33EB" w:rsidP="00D816B6"/>
        </w:tc>
        <w:tc>
          <w:tcPr>
            <w:tcW w:w="295" w:type="pct"/>
            <w:tcBorders>
              <w:top w:val="single" w:sz="4" w:space="0" w:color="auto"/>
              <w:bottom w:val="single" w:sz="4" w:space="0" w:color="auto"/>
            </w:tcBorders>
            <w:vAlign w:val="center"/>
          </w:tcPr>
          <w:p w14:paraId="29C5DC6F" w14:textId="77777777" w:rsidR="00BE33EB" w:rsidRDefault="00BE33EB" w:rsidP="00D816B6"/>
        </w:tc>
        <w:tc>
          <w:tcPr>
            <w:tcW w:w="409" w:type="pct"/>
            <w:tcBorders>
              <w:top w:val="single" w:sz="4" w:space="0" w:color="auto"/>
              <w:bottom w:val="single" w:sz="4" w:space="0" w:color="auto"/>
            </w:tcBorders>
            <w:vAlign w:val="center"/>
          </w:tcPr>
          <w:p w14:paraId="26A66684" w14:textId="77777777" w:rsidR="00BE33EB" w:rsidRDefault="00BE33EB" w:rsidP="00D816B6">
            <w:r w:rsidRPr="00B12BE2">
              <w:rPr>
                <w:sz w:val="16"/>
                <w:szCs w:val="18"/>
              </w:rPr>
              <w:t>001981/00012</w:t>
            </w:r>
          </w:p>
        </w:tc>
        <w:tc>
          <w:tcPr>
            <w:tcW w:w="415" w:type="pct"/>
            <w:tcBorders>
              <w:top w:val="single" w:sz="4" w:space="0" w:color="auto"/>
              <w:bottom w:val="single" w:sz="4" w:space="0" w:color="auto"/>
            </w:tcBorders>
            <w:vAlign w:val="center"/>
          </w:tcPr>
          <w:p w14:paraId="58B7A7C6" w14:textId="77777777" w:rsidR="00BE33EB" w:rsidRDefault="00BE33EB" w:rsidP="00D816B6">
            <w:r w:rsidRPr="00B12BE2">
              <w:rPr>
                <w:sz w:val="20"/>
                <w:szCs w:val="22"/>
              </w:rPr>
              <w:t xml:space="preserve">Fund Code </w:t>
            </w:r>
            <w:r w:rsidRPr="00B12BE2">
              <w:rPr>
                <w:b/>
                <w:bCs/>
                <w:sz w:val="20"/>
                <w:szCs w:val="22"/>
              </w:rPr>
              <w:t>11426</w:t>
            </w:r>
          </w:p>
        </w:tc>
        <w:tc>
          <w:tcPr>
            <w:tcW w:w="337" w:type="pct"/>
            <w:tcBorders>
              <w:top w:val="single" w:sz="4" w:space="0" w:color="auto"/>
              <w:bottom w:val="single" w:sz="4" w:space="0" w:color="auto"/>
            </w:tcBorders>
            <w:vAlign w:val="center"/>
          </w:tcPr>
          <w:p w14:paraId="18AC3E42" w14:textId="77777777" w:rsidR="00BE33EB" w:rsidRPr="00B12BE2" w:rsidRDefault="00BE33EB" w:rsidP="00D816B6">
            <w:pPr>
              <w:spacing w:after="60"/>
              <w:rPr>
                <w:sz w:val="16"/>
                <w:szCs w:val="16"/>
              </w:rPr>
            </w:pPr>
            <w:r w:rsidRPr="00B12BE2">
              <w:rPr>
                <w:sz w:val="16"/>
                <w:szCs w:val="16"/>
              </w:rPr>
              <w:t>71300</w:t>
            </w:r>
          </w:p>
        </w:tc>
        <w:tc>
          <w:tcPr>
            <w:tcW w:w="657" w:type="pct"/>
            <w:tcBorders>
              <w:top w:val="single" w:sz="4" w:space="0" w:color="auto"/>
              <w:bottom w:val="single" w:sz="4" w:space="0" w:color="auto"/>
            </w:tcBorders>
          </w:tcPr>
          <w:p w14:paraId="22DD2FF6" w14:textId="77777777" w:rsidR="00BE33EB" w:rsidRPr="00B12BE2" w:rsidRDefault="00BE33EB" w:rsidP="00D816B6">
            <w:pPr>
              <w:spacing w:after="60"/>
              <w:rPr>
                <w:sz w:val="16"/>
                <w:szCs w:val="16"/>
              </w:rPr>
            </w:pPr>
            <w:r w:rsidRPr="00B12BE2">
              <w:rPr>
                <w:sz w:val="16"/>
                <w:szCs w:val="16"/>
              </w:rPr>
              <w:t>12,000.00</w:t>
            </w:r>
          </w:p>
        </w:tc>
      </w:tr>
      <w:tr w:rsidR="009B47D7" w14:paraId="4C13F17D" w14:textId="77777777" w:rsidTr="009B47D7">
        <w:trPr>
          <w:cantSplit/>
          <w:trHeight w:val="378"/>
        </w:trPr>
        <w:tc>
          <w:tcPr>
            <w:tcW w:w="1123" w:type="pct"/>
            <w:vMerge/>
            <w:shd w:val="clear" w:color="auto" w:fill="CCCCCC"/>
          </w:tcPr>
          <w:p w14:paraId="17AB7BF3" w14:textId="77777777" w:rsidR="00BE33EB" w:rsidRDefault="00BE33EB" w:rsidP="00D816B6"/>
        </w:tc>
        <w:tc>
          <w:tcPr>
            <w:tcW w:w="897" w:type="pct"/>
            <w:tcBorders>
              <w:top w:val="single" w:sz="4" w:space="0" w:color="auto"/>
              <w:bottom w:val="single" w:sz="4" w:space="0" w:color="auto"/>
            </w:tcBorders>
          </w:tcPr>
          <w:p w14:paraId="28BED0F3" w14:textId="77777777" w:rsidR="00BE33EB" w:rsidRPr="001E48E2" w:rsidRDefault="00BE33EB" w:rsidP="00D816B6">
            <w:pPr>
              <w:widowControl/>
              <w:tabs>
                <w:tab w:val="left" w:pos="166"/>
                <w:tab w:val="left" w:pos="256"/>
                <w:tab w:val="left" w:pos="346"/>
                <w:tab w:val="left" w:pos="526"/>
                <w:tab w:val="left" w:pos="811"/>
              </w:tabs>
              <w:ind w:firstLine="76"/>
              <w:contextualSpacing/>
              <w:rPr>
                <w:rFonts w:cs="Arial"/>
                <w:sz w:val="20"/>
                <w:lang w:val="en-US"/>
              </w:rPr>
            </w:pPr>
            <w:r w:rsidRPr="001E48E2">
              <w:rPr>
                <w:rFonts w:cs="Arial"/>
                <w:snapToGrid/>
                <w:sz w:val="20"/>
                <w:lang w:val="en-US"/>
              </w:rPr>
              <w:t>1.8</w:t>
            </w:r>
            <w:r>
              <w:rPr>
                <w:rFonts w:cs="Arial"/>
                <w:sz w:val="20"/>
                <w:lang w:val="en-US"/>
              </w:rPr>
              <w:t xml:space="preserve"> </w:t>
            </w:r>
            <w:r w:rsidRPr="001E48E2">
              <w:rPr>
                <w:rFonts w:cs="Arial"/>
                <w:sz w:val="20"/>
                <w:lang w:val="en-US"/>
              </w:rPr>
              <w:t>Communication strategy implementation for public advocacy, thematic positioning</w:t>
            </w:r>
          </w:p>
          <w:p w14:paraId="3B62D28B" w14:textId="77777777" w:rsidR="00BE33EB" w:rsidRPr="001E48E2" w:rsidRDefault="00BE33EB" w:rsidP="00D816B6">
            <w:pPr>
              <w:spacing w:before="60"/>
              <w:rPr>
                <w:rFonts w:cs="Arial"/>
                <w:snapToGrid/>
                <w:sz w:val="20"/>
                <w:lang w:val="en-US"/>
              </w:rPr>
            </w:pPr>
          </w:p>
        </w:tc>
        <w:tc>
          <w:tcPr>
            <w:tcW w:w="295" w:type="pct"/>
            <w:tcBorders>
              <w:top w:val="single" w:sz="4" w:space="0" w:color="auto"/>
              <w:bottom w:val="single" w:sz="4" w:space="0" w:color="auto"/>
            </w:tcBorders>
            <w:vAlign w:val="center"/>
          </w:tcPr>
          <w:p w14:paraId="5933F749" w14:textId="77777777" w:rsidR="00BE33EB" w:rsidRDefault="00BE33EB" w:rsidP="00D816B6">
            <w:pPr>
              <w:jc w:val="center"/>
            </w:pPr>
            <w:r>
              <w:t>X</w:t>
            </w:r>
          </w:p>
        </w:tc>
        <w:tc>
          <w:tcPr>
            <w:tcW w:w="292" w:type="pct"/>
            <w:tcBorders>
              <w:top w:val="single" w:sz="4" w:space="0" w:color="auto"/>
              <w:bottom w:val="single" w:sz="4" w:space="0" w:color="auto"/>
            </w:tcBorders>
            <w:vAlign w:val="center"/>
          </w:tcPr>
          <w:p w14:paraId="39A28EBA" w14:textId="77777777" w:rsidR="00BE33EB" w:rsidRDefault="00BE33EB" w:rsidP="00D816B6"/>
        </w:tc>
        <w:tc>
          <w:tcPr>
            <w:tcW w:w="278" w:type="pct"/>
            <w:tcBorders>
              <w:top w:val="single" w:sz="4" w:space="0" w:color="auto"/>
              <w:bottom w:val="single" w:sz="4" w:space="0" w:color="auto"/>
            </w:tcBorders>
            <w:vAlign w:val="center"/>
          </w:tcPr>
          <w:p w14:paraId="2C4A3BEE" w14:textId="77777777" w:rsidR="00BE33EB" w:rsidRDefault="00BE33EB" w:rsidP="00D816B6"/>
        </w:tc>
        <w:tc>
          <w:tcPr>
            <w:tcW w:w="295" w:type="pct"/>
            <w:tcBorders>
              <w:top w:val="single" w:sz="4" w:space="0" w:color="auto"/>
              <w:bottom w:val="single" w:sz="4" w:space="0" w:color="auto"/>
            </w:tcBorders>
            <w:vAlign w:val="center"/>
          </w:tcPr>
          <w:p w14:paraId="36E9E271" w14:textId="77777777" w:rsidR="00BE33EB" w:rsidRDefault="00BE33EB" w:rsidP="00D816B6"/>
        </w:tc>
        <w:tc>
          <w:tcPr>
            <w:tcW w:w="409" w:type="pct"/>
            <w:tcBorders>
              <w:top w:val="single" w:sz="4" w:space="0" w:color="auto"/>
              <w:bottom w:val="single" w:sz="4" w:space="0" w:color="auto"/>
            </w:tcBorders>
            <w:vAlign w:val="center"/>
          </w:tcPr>
          <w:p w14:paraId="45A0DFBE" w14:textId="77777777" w:rsidR="00BE33EB" w:rsidRDefault="00BE33EB" w:rsidP="00D816B6">
            <w:r w:rsidRPr="00B12BE2">
              <w:rPr>
                <w:sz w:val="16"/>
                <w:szCs w:val="18"/>
              </w:rPr>
              <w:t>001981/00012</w:t>
            </w:r>
          </w:p>
        </w:tc>
        <w:tc>
          <w:tcPr>
            <w:tcW w:w="415" w:type="pct"/>
            <w:tcBorders>
              <w:top w:val="single" w:sz="4" w:space="0" w:color="auto"/>
              <w:bottom w:val="single" w:sz="4" w:space="0" w:color="auto"/>
            </w:tcBorders>
            <w:vAlign w:val="center"/>
          </w:tcPr>
          <w:p w14:paraId="47B45BEE" w14:textId="77777777" w:rsidR="00BE33EB" w:rsidRDefault="00BE33EB" w:rsidP="00D816B6">
            <w:r w:rsidRPr="00B12BE2">
              <w:rPr>
                <w:sz w:val="20"/>
                <w:szCs w:val="22"/>
              </w:rPr>
              <w:t xml:space="preserve">Fund Code </w:t>
            </w:r>
            <w:r w:rsidRPr="00B12BE2">
              <w:rPr>
                <w:b/>
                <w:bCs/>
                <w:sz w:val="20"/>
                <w:szCs w:val="22"/>
              </w:rPr>
              <w:t>11426</w:t>
            </w:r>
          </w:p>
        </w:tc>
        <w:tc>
          <w:tcPr>
            <w:tcW w:w="337" w:type="pct"/>
            <w:tcBorders>
              <w:top w:val="single" w:sz="4" w:space="0" w:color="auto"/>
              <w:bottom w:val="single" w:sz="4" w:space="0" w:color="auto"/>
            </w:tcBorders>
            <w:vAlign w:val="center"/>
          </w:tcPr>
          <w:p w14:paraId="6D37A67B" w14:textId="77777777" w:rsidR="00BE33EB" w:rsidRPr="00B12BE2" w:rsidRDefault="00BE33EB" w:rsidP="00D816B6">
            <w:pPr>
              <w:spacing w:after="60"/>
              <w:rPr>
                <w:sz w:val="16"/>
                <w:szCs w:val="16"/>
              </w:rPr>
            </w:pPr>
            <w:r w:rsidRPr="00B12BE2">
              <w:rPr>
                <w:sz w:val="16"/>
                <w:szCs w:val="16"/>
              </w:rPr>
              <w:t>72100</w:t>
            </w:r>
          </w:p>
        </w:tc>
        <w:tc>
          <w:tcPr>
            <w:tcW w:w="657" w:type="pct"/>
            <w:tcBorders>
              <w:top w:val="single" w:sz="4" w:space="0" w:color="auto"/>
              <w:bottom w:val="single" w:sz="4" w:space="0" w:color="auto"/>
            </w:tcBorders>
          </w:tcPr>
          <w:p w14:paraId="0AFAA18A" w14:textId="77777777" w:rsidR="00BE33EB" w:rsidRPr="00B12BE2" w:rsidRDefault="00BE33EB" w:rsidP="00D816B6">
            <w:pPr>
              <w:spacing w:after="60"/>
              <w:rPr>
                <w:sz w:val="16"/>
                <w:szCs w:val="16"/>
              </w:rPr>
            </w:pPr>
            <w:r w:rsidRPr="00B12BE2">
              <w:rPr>
                <w:sz w:val="16"/>
                <w:szCs w:val="16"/>
              </w:rPr>
              <w:t>20,000.00</w:t>
            </w:r>
          </w:p>
        </w:tc>
      </w:tr>
      <w:tr w:rsidR="009B47D7" w14:paraId="76605271" w14:textId="77777777" w:rsidTr="009B47D7">
        <w:trPr>
          <w:cantSplit/>
          <w:trHeight w:val="378"/>
        </w:trPr>
        <w:tc>
          <w:tcPr>
            <w:tcW w:w="1123" w:type="pct"/>
            <w:vMerge/>
            <w:shd w:val="clear" w:color="auto" w:fill="CCCCCC"/>
          </w:tcPr>
          <w:p w14:paraId="342437C1" w14:textId="77777777" w:rsidR="00BE33EB" w:rsidRDefault="00BE33EB" w:rsidP="00D816B6"/>
        </w:tc>
        <w:tc>
          <w:tcPr>
            <w:tcW w:w="897" w:type="pct"/>
            <w:tcBorders>
              <w:top w:val="single" w:sz="4" w:space="0" w:color="auto"/>
              <w:bottom w:val="single" w:sz="4" w:space="0" w:color="auto"/>
            </w:tcBorders>
          </w:tcPr>
          <w:p w14:paraId="6C7BBDCE" w14:textId="77777777" w:rsidR="00BE33EB" w:rsidRPr="001E48E2" w:rsidRDefault="00BE33EB" w:rsidP="00D816B6">
            <w:pPr>
              <w:spacing w:before="60"/>
              <w:rPr>
                <w:rFonts w:cs="Arial"/>
                <w:snapToGrid/>
                <w:sz w:val="20"/>
                <w:lang w:val="en-US"/>
              </w:rPr>
            </w:pPr>
            <w:r w:rsidRPr="001E48E2">
              <w:rPr>
                <w:rFonts w:cs="Arial"/>
                <w:snapToGrid/>
                <w:sz w:val="20"/>
                <w:lang w:val="en-US"/>
              </w:rPr>
              <w:t>MONITORING</w:t>
            </w:r>
          </w:p>
        </w:tc>
        <w:tc>
          <w:tcPr>
            <w:tcW w:w="295" w:type="pct"/>
            <w:tcBorders>
              <w:top w:val="single" w:sz="4" w:space="0" w:color="auto"/>
              <w:bottom w:val="single" w:sz="4" w:space="0" w:color="auto"/>
            </w:tcBorders>
            <w:vAlign w:val="center"/>
          </w:tcPr>
          <w:p w14:paraId="622D67BE" w14:textId="77777777" w:rsidR="00BE33EB" w:rsidRDefault="00BE33EB" w:rsidP="00D816B6">
            <w:pPr>
              <w:jc w:val="center"/>
            </w:pPr>
            <w:r>
              <w:t>X</w:t>
            </w:r>
          </w:p>
        </w:tc>
        <w:tc>
          <w:tcPr>
            <w:tcW w:w="292" w:type="pct"/>
            <w:tcBorders>
              <w:top w:val="single" w:sz="4" w:space="0" w:color="auto"/>
              <w:bottom w:val="single" w:sz="4" w:space="0" w:color="auto"/>
            </w:tcBorders>
            <w:vAlign w:val="center"/>
          </w:tcPr>
          <w:p w14:paraId="02F1D10C" w14:textId="77777777" w:rsidR="00BE33EB" w:rsidRDefault="00BE33EB" w:rsidP="00D816B6"/>
        </w:tc>
        <w:tc>
          <w:tcPr>
            <w:tcW w:w="278" w:type="pct"/>
            <w:tcBorders>
              <w:top w:val="single" w:sz="4" w:space="0" w:color="auto"/>
              <w:bottom w:val="single" w:sz="4" w:space="0" w:color="auto"/>
            </w:tcBorders>
            <w:vAlign w:val="center"/>
          </w:tcPr>
          <w:p w14:paraId="11ED77DA" w14:textId="77777777" w:rsidR="00BE33EB" w:rsidRDefault="00BE33EB" w:rsidP="00D816B6"/>
        </w:tc>
        <w:tc>
          <w:tcPr>
            <w:tcW w:w="295" w:type="pct"/>
            <w:tcBorders>
              <w:top w:val="single" w:sz="4" w:space="0" w:color="auto"/>
              <w:bottom w:val="single" w:sz="4" w:space="0" w:color="auto"/>
            </w:tcBorders>
            <w:vAlign w:val="center"/>
          </w:tcPr>
          <w:p w14:paraId="5E1BAC67" w14:textId="77777777" w:rsidR="00BE33EB" w:rsidRDefault="00BE33EB" w:rsidP="00D816B6"/>
        </w:tc>
        <w:tc>
          <w:tcPr>
            <w:tcW w:w="409" w:type="pct"/>
            <w:tcBorders>
              <w:top w:val="single" w:sz="4" w:space="0" w:color="auto"/>
              <w:bottom w:val="single" w:sz="4" w:space="0" w:color="auto"/>
            </w:tcBorders>
            <w:vAlign w:val="center"/>
          </w:tcPr>
          <w:p w14:paraId="66B1E3D3" w14:textId="77777777" w:rsidR="00BE33EB" w:rsidRDefault="00BE33EB" w:rsidP="00D816B6">
            <w:r w:rsidRPr="00B12BE2">
              <w:rPr>
                <w:sz w:val="16"/>
                <w:szCs w:val="18"/>
              </w:rPr>
              <w:t>001981/00012</w:t>
            </w:r>
          </w:p>
        </w:tc>
        <w:tc>
          <w:tcPr>
            <w:tcW w:w="415" w:type="pct"/>
            <w:tcBorders>
              <w:top w:val="single" w:sz="4" w:space="0" w:color="auto"/>
              <w:bottom w:val="single" w:sz="4" w:space="0" w:color="auto"/>
            </w:tcBorders>
            <w:vAlign w:val="center"/>
          </w:tcPr>
          <w:p w14:paraId="517E11E2" w14:textId="77777777" w:rsidR="00BE33EB" w:rsidRDefault="00BE33EB" w:rsidP="00D816B6">
            <w:r w:rsidRPr="00B12BE2">
              <w:rPr>
                <w:sz w:val="20"/>
                <w:szCs w:val="22"/>
              </w:rPr>
              <w:t xml:space="preserve">Fund Code </w:t>
            </w:r>
            <w:r w:rsidRPr="00B12BE2">
              <w:rPr>
                <w:b/>
                <w:bCs/>
                <w:sz w:val="20"/>
                <w:szCs w:val="22"/>
              </w:rPr>
              <w:t>11426</w:t>
            </w:r>
          </w:p>
        </w:tc>
        <w:tc>
          <w:tcPr>
            <w:tcW w:w="337" w:type="pct"/>
            <w:tcBorders>
              <w:top w:val="single" w:sz="4" w:space="0" w:color="auto"/>
              <w:bottom w:val="single" w:sz="4" w:space="0" w:color="auto"/>
            </w:tcBorders>
            <w:vAlign w:val="center"/>
          </w:tcPr>
          <w:p w14:paraId="6C80EB15" w14:textId="77777777" w:rsidR="00BE33EB" w:rsidRDefault="00BE33EB" w:rsidP="00D816B6">
            <w:pPr>
              <w:rPr>
                <w:sz w:val="16"/>
                <w:szCs w:val="16"/>
              </w:rPr>
            </w:pPr>
            <w:r>
              <w:rPr>
                <w:sz w:val="16"/>
                <w:szCs w:val="16"/>
              </w:rPr>
              <w:t>72500</w:t>
            </w:r>
          </w:p>
          <w:p w14:paraId="28C7789F" w14:textId="77777777" w:rsidR="00BE33EB" w:rsidRDefault="00BE33EB" w:rsidP="00D816B6">
            <w:r w:rsidRPr="00B12BE2">
              <w:rPr>
                <w:sz w:val="16"/>
                <w:szCs w:val="16"/>
              </w:rPr>
              <w:t>74500</w:t>
            </w:r>
          </w:p>
        </w:tc>
        <w:tc>
          <w:tcPr>
            <w:tcW w:w="657" w:type="pct"/>
            <w:tcBorders>
              <w:top w:val="single" w:sz="4" w:space="0" w:color="auto"/>
              <w:bottom w:val="single" w:sz="4" w:space="0" w:color="auto"/>
            </w:tcBorders>
          </w:tcPr>
          <w:p w14:paraId="076B2622" w14:textId="77777777" w:rsidR="00BE33EB" w:rsidRDefault="00BE33EB" w:rsidP="00D816B6">
            <w:pPr>
              <w:rPr>
                <w:sz w:val="16"/>
                <w:szCs w:val="16"/>
              </w:rPr>
            </w:pPr>
          </w:p>
          <w:p w14:paraId="34A2ACEF" w14:textId="77777777" w:rsidR="00BE33EB" w:rsidRDefault="00BE33EB" w:rsidP="00D816B6">
            <w:pPr>
              <w:rPr>
                <w:sz w:val="16"/>
                <w:szCs w:val="16"/>
              </w:rPr>
            </w:pPr>
            <w:r>
              <w:rPr>
                <w:sz w:val="16"/>
                <w:szCs w:val="16"/>
              </w:rPr>
              <w:t>250</w:t>
            </w:r>
            <w:r w:rsidRPr="00B12BE2">
              <w:rPr>
                <w:sz w:val="16"/>
                <w:szCs w:val="16"/>
              </w:rPr>
              <w:t>.00</w:t>
            </w:r>
          </w:p>
          <w:p w14:paraId="5FD12AB5" w14:textId="77777777" w:rsidR="00BE33EB" w:rsidRDefault="00BE33EB" w:rsidP="00D816B6">
            <w:r>
              <w:rPr>
                <w:sz w:val="16"/>
                <w:szCs w:val="16"/>
              </w:rPr>
              <w:t>250.00</w:t>
            </w:r>
          </w:p>
        </w:tc>
      </w:tr>
      <w:tr w:rsidR="009B47D7" w:rsidRPr="00B12BE2" w14:paraId="4FC61F3A" w14:textId="77777777" w:rsidTr="009B47D7">
        <w:trPr>
          <w:cantSplit/>
          <w:trHeight w:val="378"/>
        </w:trPr>
        <w:tc>
          <w:tcPr>
            <w:tcW w:w="1123" w:type="pct"/>
            <w:vMerge/>
            <w:tcBorders>
              <w:bottom w:val="single" w:sz="4" w:space="0" w:color="auto"/>
            </w:tcBorders>
          </w:tcPr>
          <w:p w14:paraId="6847C072" w14:textId="77777777" w:rsidR="00BE33EB" w:rsidRDefault="00BE33EB" w:rsidP="00D816B6"/>
        </w:tc>
        <w:tc>
          <w:tcPr>
            <w:tcW w:w="3219" w:type="pct"/>
            <w:gridSpan w:val="8"/>
            <w:tcBorders>
              <w:top w:val="single" w:sz="4" w:space="0" w:color="auto"/>
              <w:bottom w:val="single" w:sz="4" w:space="0" w:color="auto"/>
            </w:tcBorders>
            <w:shd w:val="clear" w:color="auto" w:fill="F2F2F2"/>
            <w:vAlign w:val="center"/>
          </w:tcPr>
          <w:p w14:paraId="23AEB7F2" w14:textId="77777777" w:rsidR="00BE33EB" w:rsidRPr="00B12BE2" w:rsidRDefault="00BE33EB" w:rsidP="00D816B6">
            <w:pPr>
              <w:rPr>
                <w:b/>
                <w:sz w:val="20"/>
              </w:rPr>
            </w:pPr>
            <w:r w:rsidRPr="00B12BE2">
              <w:rPr>
                <w:b/>
                <w:sz w:val="20"/>
              </w:rPr>
              <w:t>Sub-Total for Output 1</w:t>
            </w:r>
          </w:p>
        </w:tc>
        <w:tc>
          <w:tcPr>
            <w:tcW w:w="657" w:type="pct"/>
            <w:tcBorders>
              <w:top w:val="single" w:sz="4" w:space="0" w:color="auto"/>
              <w:bottom w:val="single" w:sz="4" w:space="0" w:color="auto"/>
            </w:tcBorders>
            <w:shd w:val="clear" w:color="auto" w:fill="F2F2F2"/>
          </w:tcPr>
          <w:p w14:paraId="00D3934A" w14:textId="13ACD044" w:rsidR="00BE33EB" w:rsidRPr="00B12BE2" w:rsidRDefault="00BE33EB" w:rsidP="00D816B6">
            <w:pPr>
              <w:rPr>
                <w:b/>
              </w:rPr>
            </w:pPr>
            <w:r w:rsidRPr="00B12BE2">
              <w:rPr>
                <w:b/>
              </w:rPr>
              <w:t>150,000</w:t>
            </w:r>
            <w:r w:rsidR="009B47D7">
              <w:rPr>
                <w:b/>
              </w:rPr>
              <w:t>.00</w:t>
            </w:r>
          </w:p>
        </w:tc>
      </w:tr>
      <w:tr w:rsidR="009B47D7" w14:paraId="49104E1C" w14:textId="77777777" w:rsidTr="009B47D7">
        <w:trPr>
          <w:cantSplit/>
          <w:trHeight w:val="90"/>
        </w:trPr>
        <w:tc>
          <w:tcPr>
            <w:tcW w:w="1123" w:type="pct"/>
            <w:shd w:val="clear" w:color="auto" w:fill="CCCCCC"/>
          </w:tcPr>
          <w:p w14:paraId="0A86151D" w14:textId="77777777" w:rsidR="00BE33EB" w:rsidRPr="00F1337B" w:rsidRDefault="00BE33EB" w:rsidP="00D816B6">
            <w:pPr>
              <w:spacing w:before="60"/>
              <w:rPr>
                <w:b/>
              </w:rPr>
            </w:pPr>
            <w:r w:rsidRPr="00F1337B">
              <w:rPr>
                <w:b/>
              </w:rPr>
              <w:t>TOTAL</w:t>
            </w:r>
          </w:p>
        </w:tc>
        <w:tc>
          <w:tcPr>
            <w:tcW w:w="897" w:type="pct"/>
            <w:tcBorders>
              <w:right w:val="nil"/>
            </w:tcBorders>
            <w:shd w:val="thinDiagCross" w:color="auto" w:fill="CCCCCC"/>
          </w:tcPr>
          <w:p w14:paraId="54E4BDDE" w14:textId="77777777" w:rsidR="00BE33EB" w:rsidRDefault="00BE33EB" w:rsidP="00D816B6"/>
        </w:tc>
        <w:tc>
          <w:tcPr>
            <w:tcW w:w="295" w:type="pct"/>
            <w:tcBorders>
              <w:left w:val="nil"/>
              <w:right w:val="nil"/>
            </w:tcBorders>
            <w:shd w:val="thinDiagCross" w:color="auto" w:fill="CCCCCC"/>
          </w:tcPr>
          <w:p w14:paraId="6654E0A9" w14:textId="77777777" w:rsidR="00BE33EB" w:rsidRDefault="00BE33EB" w:rsidP="00D816B6"/>
        </w:tc>
        <w:tc>
          <w:tcPr>
            <w:tcW w:w="292" w:type="pct"/>
            <w:tcBorders>
              <w:left w:val="nil"/>
              <w:right w:val="nil"/>
            </w:tcBorders>
            <w:shd w:val="thinDiagCross" w:color="auto" w:fill="CCCCCC"/>
          </w:tcPr>
          <w:p w14:paraId="613BACA0" w14:textId="77777777" w:rsidR="00BE33EB" w:rsidRDefault="00BE33EB" w:rsidP="00D816B6"/>
        </w:tc>
        <w:tc>
          <w:tcPr>
            <w:tcW w:w="278" w:type="pct"/>
            <w:tcBorders>
              <w:left w:val="nil"/>
              <w:right w:val="nil"/>
            </w:tcBorders>
            <w:shd w:val="thinDiagCross" w:color="auto" w:fill="CCCCCC"/>
          </w:tcPr>
          <w:p w14:paraId="495A7248" w14:textId="77777777" w:rsidR="00BE33EB" w:rsidRDefault="00BE33EB" w:rsidP="00D816B6"/>
        </w:tc>
        <w:tc>
          <w:tcPr>
            <w:tcW w:w="295" w:type="pct"/>
            <w:tcBorders>
              <w:left w:val="nil"/>
              <w:right w:val="nil"/>
            </w:tcBorders>
            <w:shd w:val="thinDiagCross" w:color="auto" w:fill="CCCCCC"/>
          </w:tcPr>
          <w:p w14:paraId="2DDF0D2C" w14:textId="77777777" w:rsidR="00BE33EB" w:rsidRDefault="00BE33EB" w:rsidP="00D816B6"/>
        </w:tc>
        <w:tc>
          <w:tcPr>
            <w:tcW w:w="409" w:type="pct"/>
            <w:tcBorders>
              <w:left w:val="nil"/>
              <w:right w:val="nil"/>
            </w:tcBorders>
            <w:shd w:val="thinDiagCross" w:color="auto" w:fill="CCCCCC"/>
          </w:tcPr>
          <w:p w14:paraId="610922BB" w14:textId="77777777" w:rsidR="00BE33EB" w:rsidRDefault="00BE33EB" w:rsidP="00D816B6"/>
        </w:tc>
        <w:tc>
          <w:tcPr>
            <w:tcW w:w="415" w:type="pct"/>
            <w:tcBorders>
              <w:left w:val="nil"/>
            </w:tcBorders>
            <w:shd w:val="thinDiagCross" w:color="auto" w:fill="CCCCCC"/>
          </w:tcPr>
          <w:p w14:paraId="3686404B" w14:textId="77777777" w:rsidR="00BE33EB" w:rsidRDefault="00BE33EB" w:rsidP="00D816B6"/>
        </w:tc>
        <w:tc>
          <w:tcPr>
            <w:tcW w:w="337" w:type="pct"/>
            <w:shd w:val="clear" w:color="auto" w:fill="CCCCCC"/>
          </w:tcPr>
          <w:p w14:paraId="575D4759" w14:textId="77777777" w:rsidR="00BE33EB" w:rsidRDefault="00BE33EB" w:rsidP="00D816B6"/>
        </w:tc>
        <w:tc>
          <w:tcPr>
            <w:tcW w:w="657" w:type="pct"/>
            <w:shd w:val="clear" w:color="auto" w:fill="CCCCCC"/>
          </w:tcPr>
          <w:p w14:paraId="308713D3" w14:textId="1E608720" w:rsidR="00BE33EB" w:rsidRPr="009B47D7" w:rsidRDefault="009B47D7" w:rsidP="00D816B6">
            <w:pPr>
              <w:rPr>
                <w:b/>
                <w:bCs/>
              </w:rPr>
            </w:pPr>
            <w:r w:rsidRPr="009B47D7">
              <w:rPr>
                <w:b/>
                <w:bCs/>
                <w:color w:val="0070C0"/>
              </w:rPr>
              <w:t>150,000.00</w:t>
            </w:r>
          </w:p>
        </w:tc>
      </w:tr>
    </w:tbl>
    <w:p w14:paraId="42DE6BD1" w14:textId="51F8B351" w:rsidR="00653390" w:rsidRPr="00631C95" w:rsidRDefault="00653390" w:rsidP="00E24DF1">
      <w:pPr>
        <w:widowControl/>
        <w:rPr>
          <w:rFonts w:ascii="Arial" w:hAnsi="Arial" w:cs="Arial"/>
          <w:b/>
          <w:sz w:val="20"/>
          <w:lang w:val="en-US"/>
        </w:rPr>
      </w:pPr>
    </w:p>
    <w:sectPr w:rsidR="00653390" w:rsidRPr="00631C95" w:rsidSect="00BE33E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72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8047A" w14:textId="77777777" w:rsidR="00084A36" w:rsidRDefault="00084A36">
      <w:r>
        <w:separator/>
      </w:r>
    </w:p>
  </w:endnote>
  <w:endnote w:type="continuationSeparator" w:id="0">
    <w:p w14:paraId="50D1B2F1" w14:textId="77777777" w:rsidR="00084A36" w:rsidRDefault="0008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8F7A" w14:textId="77777777" w:rsidR="009537C1" w:rsidRDefault="009537C1" w:rsidP="009A7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4F1B8" w14:textId="77777777" w:rsidR="009537C1" w:rsidRDefault="00953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C8C9" w14:textId="5AC8E330" w:rsidR="009537C1" w:rsidRDefault="009537C1" w:rsidP="00FE4307">
    <w:pPr>
      <w:pStyle w:val="Footer"/>
      <w:framePr w:wrap="around" w:vAnchor="text" w:hAnchor="page" w:x="10761" w:y="-152"/>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D70938" w14:textId="0B5D5C3A" w:rsidR="009537C1" w:rsidRPr="00FE4307" w:rsidRDefault="00FE4307" w:rsidP="00F46494">
    <w:pPr>
      <w:pStyle w:val="Footer"/>
      <w:rPr>
        <w:sz w:val="18"/>
        <w:szCs w:val="18"/>
      </w:rPr>
    </w:pPr>
    <w:r w:rsidRPr="00FE4307">
      <w:rPr>
        <w:rFonts w:ascii="Arial" w:hAnsi="Arial" w:cs="Arial"/>
        <w:sz w:val="18"/>
        <w:szCs w:val="18"/>
        <w:lang w:val="en-US"/>
      </w:rPr>
      <w:t>ENGAGEMENT FACILITY</w:t>
    </w:r>
    <w:r w:rsidRPr="00FE4307">
      <w:rPr>
        <w:rFonts w:ascii="Arial" w:hAnsi="Arial" w:cs="Arial"/>
        <w:b/>
        <w:color w:val="000000"/>
        <w:sz w:val="18"/>
        <w:szCs w:val="18"/>
      </w:rPr>
      <w:t xml:space="preserve"> </w:t>
    </w:r>
    <w:r w:rsidRPr="00FE4307">
      <w:rPr>
        <w:rFonts w:ascii="Arial" w:hAnsi="Arial" w:cs="Arial"/>
        <w:color w:val="000000"/>
        <w:sz w:val="18"/>
        <w:szCs w:val="18"/>
      </w:rPr>
      <w:t xml:space="preserve">PROGRAM - ID </w:t>
    </w:r>
    <w:r w:rsidRPr="00FE4307">
      <w:rPr>
        <w:rFonts w:ascii="Arial" w:hAnsi="Arial" w:cs="Arial"/>
        <w:sz w:val="18"/>
        <w:szCs w:val="18"/>
        <w:lang w:val="en-US"/>
      </w:rPr>
      <w:t>00</w:t>
    </w:r>
    <w:r w:rsidR="00E24DF1">
      <w:rPr>
        <w:rFonts w:ascii="Arial" w:hAnsi="Arial" w:cs="Arial"/>
        <w:sz w:val="18"/>
        <w:szCs w:val="18"/>
        <w:lang w:val="en-US"/>
      </w:rPr>
      <w:t>119274</w:t>
    </w:r>
    <w:r>
      <w:rPr>
        <w:rFonts w:ascii="Arial" w:hAnsi="Arial" w:cs="Arial"/>
        <w:sz w:val="18"/>
        <w:szCs w:val="18"/>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5851" w14:textId="77777777" w:rsidR="00E24DF1" w:rsidRDefault="00E2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DBF7B" w14:textId="77777777" w:rsidR="00084A36" w:rsidRDefault="00084A36">
      <w:r>
        <w:separator/>
      </w:r>
    </w:p>
  </w:footnote>
  <w:footnote w:type="continuationSeparator" w:id="0">
    <w:p w14:paraId="687CDD00" w14:textId="77777777" w:rsidR="00084A36" w:rsidRDefault="00084A36">
      <w:r>
        <w:continuationSeparator/>
      </w:r>
    </w:p>
  </w:footnote>
  <w:footnote w:id="1">
    <w:p w14:paraId="6488F572" w14:textId="77777777" w:rsidR="00A53E78" w:rsidRDefault="00A53E78" w:rsidP="00A53E78">
      <w:pPr>
        <w:pStyle w:val="FootnoteText"/>
      </w:pPr>
      <w:r>
        <w:rPr>
          <w:rStyle w:val="FootnoteReference"/>
        </w:rPr>
        <w:footnoteRef/>
      </w:r>
      <w:r>
        <w:t xml:space="preserve"> Color that results from the combination of blue and green. Short for the ‘blue green economy’.</w:t>
      </w:r>
    </w:p>
  </w:footnote>
  <w:footnote w:id="2">
    <w:p w14:paraId="0F61962C" w14:textId="77777777" w:rsidR="00BE33EB" w:rsidRPr="00ED57D5" w:rsidRDefault="00BE33EB" w:rsidP="00BE33EB">
      <w:pPr>
        <w:pStyle w:val="FootnoteText"/>
        <w:rPr>
          <w:rFonts w:ascii="Calibri" w:hAnsi="Calibri"/>
        </w:rPr>
      </w:pPr>
      <w:r w:rsidRPr="00ED57D5">
        <w:rPr>
          <w:rStyle w:val="FootnoteReference"/>
          <w:rFonts w:ascii="Calibri" w:hAnsi="Calibri"/>
        </w:rPr>
        <w:footnoteRef/>
      </w:r>
      <w:r w:rsidRPr="00ED57D5">
        <w:rPr>
          <w:rFonts w:ascii="Calibri" w:hAnsi="Calibri"/>
        </w:rPr>
        <w:t xml:space="preserve"> Cost definitions and classifications for programme and development effectiveness costs to be charged to the project are defined in the Executive Board decision DP/2010/32</w:t>
      </w:r>
    </w:p>
  </w:footnote>
  <w:footnote w:id="3">
    <w:p w14:paraId="2DCADA05" w14:textId="77777777" w:rsidR="00BE33EB" w:rsidRPr="00ED57D5" w:rsidRDefault="00BE33EB" w:rsidP="00BE33EB">
      <w:pPr>
        <w:pStyle w:val="FootnoteText"/>
        <w:rPr>
          <w:rFonts w:ascii="Calibri" w:hAnsi="Calibri"/>
        </w:rPr>
      </w:pPr>
      <w:r>
        <w:rPr>
          <w:rStyle w:val="FootnoteReference"/>
        </w:rPr>
        <w:footnoteRef/>
      </w:r>
      <w:r>
        <w:t xml:space="preserve"> </w:t>
      </w:r>
      <w:r w:rsidRPr="00ED57D5">
        <w:rPr>
          <w:rFonts w:ascii="Calibri" w:hAnsi="Calibri" w:cs="Arial"/>
          <w:color w:val="333333"/>
        </w:rPr>
        <w:t xml:space="preserve">Changes to a project budget affecting the scope (outputs), completion date, or total estimated project costs require a formal budget revision that must be signed by the </w:t>
      </w:r>
      <w:r>
        <w:rPr>
          <w:rFonts w:ascii="Calibri" w:hAnsi="Calibri" w:cs="Arial"/>
          <w:color w:val="333333"/>
        </w:rPr>
        <w:t>project board</w:t>
      </w:r>
      <w:r w:rsidRPr="00ED57D5">
        <w:rPr>
          <w:rFonts w:ascii="Calibri" w:hAnsi="Calibri" w:cs="Arial"/>
          <w:color w:val="333333"/>
        </w:rPr>
        <w:t>.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ACF6" w14:textId="77777777" w:rsidR="009537C1" w:rsidRDefault="009537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7614D5B" w14:textId="77777777" w:rsidR="009537C1" w:rsidRDefault="009537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3E54" w14:textId="77777777" w:rsidR="009537C1" w:rsidRDefault="009537C1">
    <w:pPr>
      <w:pStyle w:val="Header"/>
      <w:framePr w:wrap="around" w:vAnchor="text" w:hAnchor="margin" w:xAlign="right" w:y="1"/>
      <w:ind w:right="360"/>
      <w:rPr>
        <w:rStyle w:val="PageNumber"/>
      </w:rPr>
    </w:pPr>
  </w:p>
  <w:p w14:paraId="3F9579EB" w14:textId="77777777" w:rsidR="009537C1" w:rsidRDefault="009537C1" w:rsidP="00C208BD">
    <w:pP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1025" w14:textId="77777777" w:rsidR="009537C1" w:rsidRDefault="009537C1">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070702"/>
    <w:multiLevelType w:val="hybridMultilevel"/>
    <w:tmpl w:val="6DBADB82"/>
    <w:lvl w:ilvl="0" w:tplc="F29C0856">
      <w:start w:val="1"/>
      <w:numFmt w:val="lowerLetter"/>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C26A14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A46D2"/>
    <w:multiLevelType w:val="hybridMultilevel"/>
    <w:tmpl w:val="B5DC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F5960"/>
    <w:multiLevelType w:val="multilevel"/>
    <w:tmpl w:val="88DA9B1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EB5570"/>
    <w:multiLevelType w:val="hybridMultilevel"/>
    <w:tmpl w:val="E21CDBC8"/>
    <w:lvl w:ilvl="0" w:tplc="3AE4C500">
      <w:start w:val="1"/>
      <w:numFmt w:val="upperRoman"/>
      <w:lvlText w:val="%1."/>
      <w:lvlJc w:val="left"/>
      <w:pPr>
        <w:tabs>
          <w:tab w:val="num" w:pos="1080"/>
        </w:tabs>
        <w:ind w:left="1080" w:hanging="720"/>
      </w:pPr>
      <w:rPr>
        <w:rFonts w:hint="default"/>
      </w:rPr>
    </w:lvl>
    <w:lvl w:ilvl="1" w:tplc="13D0602A">
      <w:numFmt w:val="none"/>
      <w:lvlText w:val=""/>
      <w:lvlJc w:val="left"/>
      <w:pPr>
        <w:tabs>
          <w:tab w:val="num" w:pos="360"/>
        </w:tabs>
      </w:pPr>
    </w:lvl>
    <w:lvl w:ilvl="2" w:tplc="BA6EBC22">
      <w:numFmt w:val="none"/>
      <w:lvlText w:val=""/>
      <w:lvlJc w:val="left"/>
      <w:pPr>
        <w:tabs>
          <w:tab w:val="num" w:pos="360"/>
        </w:tabs>
      </w:pPr>
    </w:lvl>
    <w:lvl w:ilvl="3" w:tplc="F798140A">
      <w:numFmt w:val="none"/>
      <w:lvlText w:val=""/>
      <w:lvlJc w:val="left"/>
      <w:pPr>
        <w:tabs>
          <w:tab w:val="num" w:pos="360"/>
        </w:tabs>
      </w:pPr>
    </w:lvl>
    <w:lvl w:ilvl="4" w:tplc="153AD974">
      <w:numFmt w:val="none"/>
      <w:lvlText w:val=""/>
      <w:lvlJc w:val="left"/>
      <w:pPr>
        <w:tabs>
          <w:tab w:val="num" w:pos="360"/>
        </w:tabs>
      </w:pPr>
    </w:lvl>
    <w:lvl w:ilvl="5" w:tplc="F402A950">
      <w:numFmt w:val="none"/>
      <w:lvlText w:val=""/>
      <w:lvlJc w:val="left"/>
      <w:pPr>
        <w:tabs>
          <w:tab w:val="num" w:pos="360"/>
        </w:tabs>
      </w:pPr>
    </w:lvl>
    <w:lvl w:ilvl="6" w:tplc="D25A818A">
      <w:numFmt w:val="none"/>
      <w:lvlText w:val=""/>
      <w:lvlJc w:val="left"/>
      <w:pPr>
        <w:tabs>
          <w:tab w:val="num" w:pos="360"/>
        </w:tabs>
      </w:pPr>
    </w:lvl>
    <w:lvl w:ilvl="7" w:tplc="07524654">
      <w:numFmt w:val="none"/>
      <w:lvlText w:val=""/>
      <w:lvlJc w:val="left"/>
      <w:pPr>
        <w:tabs>
          <w:tab w:val="num" w:pos="360"/>
        </w:tabs>
      </w:pPr>
    </w:lvl>
    <w:lvl w:ilvl="8" w:tplc="6A500524">
      <w:numFmt w:val="none"/>
      <w:lvlText w:val=""/>
      <w:lvlJc w:val="left"/>
      <w:pPr>
        <w:tabs>
          <w:tab w:val="num" w:pos="360"/>
        </w:tabs>
      </w:pPr>
    </w:lvl>
  </w:abstractNum>
  <w:abstractNum w:abstractNumId="5" w15:restartNumberingAfterBreak="0">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C0144"/>
    <w:multiLevelType w:val="multilevel"/>
    <w:tmpl w:val="5A502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582D19"/>
    <w:multiLevelType w:val="hybridMultilevel"/>
    <w:tmpl w:val="CAA47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611F4F"/>
    <w:multiLevelType w:val="hybridMultilevel"/>
    <w:tmpl w:val="96107C56"/>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2F6601"/>
    <w:multiLevelType w:val="hybridMultilevel"/>
    <w:tmpl w:val="09566756"/>
    <w:lvl w:ilvl="0" w:tplc="F662B186">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26FC"/>
    <w:multiLevelType w:val="hybridMultilevel"/>
    <w:tmpl w:val="B4B4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A3233"/>
    <w:multiLevelType w:val="hybridMultilevel"/>
    <w:tmpl w:val="07F48DD8"/>
    <w:lvl w:ilvl="0" w:tplc="FE5CB56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7D3C6E"/>
    <w:multiLevelType w:val="hybridMultilevel"/>
    <w:tmpl w:val="FC781C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804F33"/>
    <w:multiLevelType w:val="multilevel"/>
    <w:tmpl w:val="4A2258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543FE"/>
    <w:multiLevelType w:val="multilevel"/>
    <w:tmpl w:val="35BCCE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4B3621"/>
    <w:multiLevelType w:val="hybridMultilevel"/>
    <w:tmpl w:val="723CDF88"/>
    <w:lvl w:ilvl="0" w:tplc="83B6582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63347"/>
    <w:multiLevelType w:val="hybridMultilevel"/>
    <w:tmpl w:val="D9A8A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A94455"/>
    <w:multiLevelType w:val="hybridMultilevel"/>
    <w:tmpl w:val="8508082E"/>
    <w:lvl w:ilvl="0" w:tplc="2C9CD51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94031D"/>
    <w:multiLevelType w:val="hybridMultilevel"/>
    <w:tmpl w:val="77961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780259"/>
    <w:multiLevelType w:val="multilevel"/>
    <w:tmpl w:val="7D8CDDEA"/>
    <w:lvl w:ilvl="0">
      <w:start w:val="1"/>
      <w:numFmt w:val="decimal"/>
      <w:lvlText w:val="%1"/>
      <w:lvlJc w:val="left"/>
      <w:pPr>
        <w:ind w:left="360" w:hanging="360"/>
      </w:pPr>
      <w:rPr>
        <w:rFonts w:cs="Times New Roman" w:hint="default"/>
        <w:sz w:val="16"/>
      </w:rPr>
    </w:lvl>
    <w:lvl w:ilvl="1">
      <w:start w:val="1"/>
      <w:numFmt w:val="decimal"/>
      <w:lvlText w:val="%1.%2"/>
      <w:lvlJc w:val="left"/>
      <w:pPr>
        <w:ind w:left="360" w:hanging="360"/>
      </w:pPr>
      <w:rPr>
        <w:rFonts w:cs="Times New Roman" w:hint="default"/>
        <w:sz w:val="16"/>
      </w:rPr>
    </w:lvl>
    <w:lvl w:ilvl="2">
      <w:start w:val="1"/>
      <w:numFmt w:val="decimal"/>
      <w:lvlText w:val="%1.%2.%3"/>
      <w:lvlJc w:val="left"/>
      <w:pPr>
        <w:ind w:left="720" w:hanging="720"/>
      </w:pPr>
      <w:rPr>
        <w:rFonts w:cs="Times New Roman" w:hint="default"/>
        <w:sz w:val="16"/>
      </w:rPr>
    </w:lvl>
    <w:lvl w:ilvl="3">
      <w:start w:val="1"/>
      <w:numFmt w:val="decimal"/>
      <w:lvlText w:val="%1.%2.%3.%4"/>
      <w:lvlJc w:val="left"/>
      <w:pPr>
        <w:ind w:left="720" w:hanging="720"/>
      </w:pPr>
      <w:rPr>
        <w:rFonts w:cs="Times New Roman" w:hint="default"/>
        <w:sz w:val="16"/>
      </w:rPr>
    </w:lvl>
    <w:lvl w:ilvl="4">
      <w:start w:val="1"/>
      <w:numFmt w:val="decimal"/>
      <w:lvlText w:val="%1.%2.%3.%4.%5"/>
      <w:lvlJc w:val="left"/>
      <w:pPr>
        <w:ind w:left="1080" w:hanging="1080"/>
      </w:pPr>
      <w:rPr>
        <w:rFonts w:cs="Times New Roman" w:hint="default"/>
        <w:sz w:val="16"/>
      </w:rPr>
    </w:lvl>
    <w:lvl w:ilvl="5">
      <w:start w:val="1"/>
      <w:numFmt w:val="decimal"/>
      <w:lvlText w:val="%1.%2.%3.%4.%5.%6"/>
      <w:lvlJc w:val="left"/>
      <w:pPr>
        <w:ind w:left="1080" w:hanging="1080"/>
      </w:pPr>
      <w:rPr>
        <w:rFonts w:cs="Times New Roman" w:hint="default"/>
        <w:sz w:val="16"/>
      </w:rPr>
    </w:lvl>
    <w:lvl w:ilvl="6">
      <w:start w:val="1"/>
      <w:numFmt w:val="decimal"/>
      <w:lvlText w:val="%1.%2.%3.%4.%5.%6.%7"/>
      <w:lvlJc w:val="left"/>
      <w:pPr>
        <w:ind w:left="1440" w:hanging="1440"/>
      </w:pPr>
      <w:rPr>
        <w:rFonts w:cs="Times New Roman" w:hint="default"/>
        <w:sz w:val="16"/>
      </w:rPr>
    </w:lvl>
    <w:lvl w:ilvl="7">
      <w:start w:val="1"/>
      <w:numFmt w:val="decimal"/>
      <w:lvlText w:val="%1.%2.%3.%4.%5.%6.%7.%8"/>
      <w:lvlJc w:val="left"/>
      <w:pPr>
        <w:ind w:left="1440" w:hanging="1440"/>
      </w:pPr>
      <w:rPr>
        <w:rFonts w:cs="Times New Roman" w:hint="default"/>
        <w:sz w:val="16"/>
      </w:rPr>
    </w:lvl>
    <w:lvl w:ilvl="8">
      <w:start w:val="1"/>
      <w:numFmt w:val="decimal"/>
      <w:lvlText w:val="%1.%2.%3.%4.%5.%6.%7.%8.%9"/>
      <w:lvlJc w:val="left"/>
      <w:pPr>
        <w:ind w:left="1800" w:hanging="1800"/>
      </w:pPr>
      <w:rPr>
        <w:rFonts w:cs="Times New Roman" w:hint="default"/>
        <w:sz w:val="16"/>
      </w:rPr>
    </w:lvl>
  </w:abstractNum>
  <w:abstractNum w:abstractNumId="26" w15:restartNumberingAfterBreak="0">
    <w:nsid w:val="74D14FD5"/>
    <w:multiLevelType w:val="hybridMultilevel"/>
    <w:tmpl w:val="06C04FAC"/>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8400611"/>
    <w:multiLevelType w:val="hybridMultilevel"/>
    <w:tmpl w:val="569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7"/>
  </w:num>
  <w:num w:numId="3">
    <w:abstractNumId w:val="17"/>
  </w:num>
  <w:num w:numId="4">
    <w:abstractNumId w:val="5"/>
  </w:num>
  <w:num w:numId="5">
    <w:abstractNumId w:val="8"/>
  </w:num>
  <w:num w:numId="6">
    <w:abstractNumId w:val="4"/>
  </w:num>
  <w:num w:numId="7">
    <w:abstractNumId w:val="12"/>
  </w:num>
  <w:num w:numId="8">
    <w:abstractNumId w:val="14"/>
  </w:num>
  <w:num w:numId="9">
    <w:abstractNumId w:val="9"/>
  </w:num>
  <w:num w:numId="10">
    <w:abstractNumId w:val="11"/>
  </w:num>
  <w:num w:numId="11">
    <w:abstractNumId w:val="22"/>
  </w:num>
  <w:num w:numId="12">
    <w:abstractNumId w:val="26"/>
  </w:num>
  <w:num w:numId="13">
    <w:abstractNumId w:val="15"/>
  </w:num>
  <w:num w:numId="14">
    <w:abstractNumId w:val="20"/>
  </w:num>
  <w:num w:numId="15">
    <w:abstractNumId w:val="6"/>
  </w:num>
  <w:num w:numId="16">
    <w:abstractNumId w:val="18"/>
  </w:num>
  <w:num w:numId="17">
    <w:abstractNumId w:val="19"/>
  </w:num>
  <w:num w:numId="18">
    <w:abstractNumId w:val="3"/>
  </w:num>
  <w:num w:numId="19">
    <w:abstractNumId w:val="13"/>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1"/>
  </w:num>
  <w:num w:numId="23">
    <w:abstractNumId w:val="24"/>
  </w:num>
  <w:num w:numId="24">
    <w:abstractNumId w:val="27"/>
  </w:num>
  <w:num w:numId="25">
    <w:abstractNumId w:val="2"/>
  </w:num>
  <w:num w:numId="26">
    <w:abstractNumId w:val="23"/>
  </w:num>
  <w:num w:numId="27">
    <w:abstractNumId w:val="10"/>
  </w:num>
  <w:num w:numId="28">
    <w:abstractNumId w:val="16"/>
  </w:num>
  <w:num w:numId="2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6FD"/>
    <w:rsid w:val="0000225F"/>
    <w:rsid w:val="00005FC2"/>
    <w:rsid w:val="000064D1"/>
    <w:rsid w:val="0000795A"/>
    <w:rsid w:val="00011466"/>
    <w:rsid w:val="0001498A"/>
    <w:rsid w:val="00020888"/>
    <w:rsid w:val="0002331D"/>
    <w:rsid w:val="00030F32"/>
    <w:rsid w:val="00032249"/>
    <w:rsid w:val="00040CED"/>
    <w:rsid w:val="000422CD"/>
    <w:rsid w:val="00044836"/>
    <w:rsid w:val="00054C8A"/>
    <w:rsid w:val="00055807"/>
    <w:rsid w:val="00056B9B"/>
    <w:rsid w:val="00061734"/>
    <w:rsid w:val="000733CE"/>
    <w:rsid w:val="00082260"/>
    <w:rsid w:val="00084A36"/>
    <w:rsid w:val="00085564"/>
    <w:rsid w:val="00086AF1"/>
    <w:rsid w:val="000940EC"/>
    <w:rsid w:val="000A062D"/>
    <w:rsid w:val="000A2B50"/>
    <w:rsid w:val="000B249A"/>
    <w:rsid w:val="000B3E5C"/>
    <w:rsid w:val="000B6FDE"/>
    <w:rsid w:val="000D5573"/>
    <w:rsid w:val="000E4627"/>
    <w:rsid w:val="000E4812"/>
    <w:rsid w:val="000F06FD"/>
    <w:rsid w:val="000F207E"/>
    <w:rsid w:val="000F5C7F"/>
    <w:rsid w:val="00102541"/>
    <w:rsid w:val="00102858"/>
    <w:rsid w:val="00105DCF"/>
    <w:rsid w:val="00107930"/>
    <w:rsid w:val="00111D39"/>
    <w:rsid w:val="00111FDC"/>
    <w:rsid w:val="00113B2F"/>
    <w:rsid w:val="00116757"/>
    <w:rsid w:val="00131B12"/>
    <w:rsid w:val="00134D59"/>
    <w:rsid w:val="00140131"/>
    <w:rsid w:val="00140B70"/>
    <w:rsid w:val="0014195D"/>
    <w:rsid w:val="00141E76"/>
    <w:rsid w:val="00142344"/>
    <w:rsid w:val="00143143"/>
    <w:rsid w:val="00147ECD"/>
    <w:rsid w:val="00150C81"/>
    <w:rsid w:val="001515AF"/>
    <w:rsid w:val="001541D4"/>
    <w:rsid w:val="00160805"/>
    <w:rsid w:val="00160C49"/>
    <w:rsid w:val="00163670"/>
    <w:rsid w:val="00165A86"/>
    <w:rsid w:val="00165E34"/>
    <w:rsid w:val="001810CF"/>
    <w:rsid w:val="00187D97"/>
    <w:rsid w:val="001A16AB"/>
    <w:rsid w:val="001A5E9D"/>
    <w:rsid w:val="001B0651"/>
    <w:rsid w:val="001B0A42"/>
    <w:rsid w:val="001C13E4"/>
    <w:rsid w:val="001C7F27"/>
    <w:rsid w:val="001D277A"/>
    <w:rsid w:val="001D438A"/>
    <w:rsid w:val="001D67EB"/>
    <w:rsid w:val="001E01FF"/>
    <w:rsid w:val="001E1012"/>
    <w:rsid w:val="001E1C58"/>
    <w:rsid w:val="001F05A0"/>
    <w:rsid w:val="001F1767"/>
    <w:rsid w:val="00200BD7"/>
    <w:rsid w:val="00202D37"/>
    <w:rsid w:val="00204390"/>
    <w:rsid w:val="002117B5"/>
    <w:rsid w:val="00221E38"/>
    <w:rsid w:val="00227FB3"/>
    <w:rsid w:val="00230D51"/>
    <w:rsid w:val="0023422D"/>
    <w:rsid w:val="00235BD1"/>
    <w:rsid w:val="002538C2"/>
    <w:rsid w:val="002554B7"/>
    <w:rsid w:val="00260F6B"/>
    <w:rsid w:val="00266B58"/>
    <w:rsid w:val="00266E32"/>
    <w:rsid w:val="00271548"/>
    <w:rsid w:val="0027253D"/>
    <w:rsid w:val="00275B85"/>
    <w:rsid w:val="00275E26"/>
    <w:rsid w:val="002A401B"/>
    <w:rsid w:val="002A6633"/>
    <w:rsid w:val="002B193D"/>
    <w:rsid w:val="002C1473"/>
    <w:rsid w:val="002C53EF"/>
    <w:rsid w:val="002D55E4"/>
    <w:rsid w:val="002E0871"/>
    <w:rsid w:val="002E20C0"/>
    <w:rsid w:val="002E2BBC"/>
    <w:rsid w:val="002E4B5A"/>
    <w:rsid w:val="002F1694"/>
    <w:rsid w:val="002F2AC4"/>
    <w:rsid w:val="002F5846"/>
    <w:rsid w:val="002F6A9A"/>
    <w:rsid w:val="0031498E"/>
    <w:rsid w:val="00323F94"/>
    <w:rsid w:val="00324171"/>
    <w:rsid w:val="00324A88"/>
    <w:rsid w:val="00326F5A"/>
    <w:rsid w:val="00332815"/>
    <w:rsid w:val="00335AD2"/>
    <w:rsid w:val="00340107"/>
    <w:rsid w:val="00341418"/>
    <w:rsid w:val="00350FAE"/>
    <w:rsid w:val="0035208B"/>
    <w:rsid w:val="003525D5"/>
    <w:rsid w:val="00353DC8"/>
    <w:rsid w:val="00362729"/>
    <w:rsid w:val="00362F8D"/>
    <w:rsid w:val="00366D9C"/>
    <w:rsid w:val="00373D49"/>
    <w:rsid w:val="00374E22"/>
    <w:rsid w:val="00375406"/>
    <w:rsid w:val="00383500"/>
    <w:rsid w:val="00384A7F"/>
    <w:rsid w:val="00393C62"/>
    <w:rsid w:val="0039693E"/>
    <w:rsid w:val="003A2A55"/>
    <w:rsid w:val="003B1D5F"/>
    <w:rsid w:val="003B358E"/>
    <w:rsid w:val="003B46AA"/>
    <w:rsid w:val="003B726C"/>
    <w:rsid w:val="003D073A"/>
    <w:rsid w:val="003D1E57"/>
    <w:rsid w:val="003D413A"/>
    <w:rsid w:val="003E0527"/>
    <w:rsid w:val="003E3703"/>
    <w:rsid w:val="003E40BA"/>
    <w:rsid w:val="003F669D"/>
    <w:rsid w:val="00404AB2"/>
    <w:rsid w:val="00413146"/>
    <w:rsid w:val="004147EC"/>
    <w:rsid w:val="00417576"/>
    <w:rsid w:val="00420C50"/>
    <w:rsid w:val="00422F77"/>
    <w:rsid w:val="00424C8F"/>
    <w:rsid w:val="004268F3"/>
    <w:rsid w:val="00435FA7"/>
    <w:rsid w:val="00451AF2"/>
    <w:rsid w:val="00454D72"/>
    <w:rsid w:val="004649D1"/>
    <w:rsid w:val="0047154D"/>
    <w:rsid w:val="00472267"/>
    <w:rsid w:val="00475842"/>
    <w:rsid w:val="00481C06"/>
    <w:rsid w:val="00484318"/>
    <w:rsid w:val="004940C9"/>
    <w:rsid w:val="004A2AC4"/>
    <w:rsid w:val="004A73D7"/>
    <w:rsid w:val="004B16CC"/>
    <w:rsid w:val="004C13B5"/>
    <w:rsid w:val="004C695C"/>
    <w:rsid w:val="004C787D"/>
    <w:rsid w:val="004D21EE"/>
    <w:rsid w:val="004D3C58"/>
    <w:rsid w:val="004E42DE"/>
    <w:rsid w:val="0050263A"/>
    <w:rsid w:val="005060A3"/>
    <w:rsid w:val="005324C1"/>
    <w:rsid w:val="005334F6"/>
    <w:rsid w:val="00537AAC"/>
    <w:rsid w:val="005508D0"/>
    <w:rsid w:val="00554D5E"/>
    <w:rsid w:val="00556E71"/>
    <w:rsid w:val="00557130"/>
    <w:rsid w:val="00562E66"/>
    <w:rsid w:val="005661F0"/>
    <w:rsid w:val="005805F8"/>
    <w:rsid w:val="005821F9"/>
    <w:rsid w:val="00582921"/>
    <w:rsid w:val="00585B31"/>
    <w:rsid w:val="005A7000"/>
    <w:rsid w:val="005A7D90"/>
    <w:rsid w:val="005B5781"/>
    <w:rsid w:val="005B6863"/>
    <w:rsid w:val="005C0455"/>
    <w:rsid w:val="005C6A8C"/>
    <w:rsid w:val="005D0ED4"/>
    <w:rsid w:val="005D14BF"/>
    <w:rsid w:val="005D25AB"/>
    <w:rsid w:val="005D5993"/>
    <w:rsid w:val="005D7F8C"/>
    <w:rsid w:val="005E04F3"/>
    <w:rsid w:val="005E0A01"/>
    <w:rsid w:val="005E17EE"/>
    <w:rsid w:val="005E76D1"/>
    <w:rsid w:val="005F2594"/>
    <w:rsid w:val="00607AA4"/>
    <w:rsid w:val="006121AF"/>
    <w:rsid w:val="0061365E"/>
    <w:rsid w:val="00617F3F"/>
    <w:rsid w:val="00626C63"/>
    <w:rsid w:val="00631C95"/>
    <w:rsid w:val="00631E31"/>
    <w:rsid w:val="0063281C"/>
    <w:rsid w:val="00636600"/>
    <w:rsid w:val="00636B95"/>
    <w:rsid w:val="00646B64"/>
    <w:rsid w:val="00646FA7"/>
    <w:rsid w:val="00652E43"/>
    <w:rsid w:val="00653390"/>
    <w:rsid w:val="00655DF9"/>
    <w:rsid w:val="0066580B"/>
    <w:rsid w:val="00681718"/>
    <w:rsid w:val="006854A1"/>
    <w:rsid w:val="006905B4"/>
    <w:rsid w:val="00693B10"/>
    <w:rsid w:val="006A0567"/>
    <w:rsid w:val="006A14AB"/>
    <w:rsid w:val="006A169A"/>
    <w:rsid w:val="006A1C59"/>
    <w:rsid w:val="006B227B"/>
    <w:rsid w:val="006B31F6"/>
    <w:rsid w:val="006C1FF6"/>
    <w:rsid w:val="006D2B68"/>
    <w:rsid w:val="006D7F0C"/>
    <w:rsid w:val="006F439D"/>
    <w:rsid w:val="006F6297"/>
    <w:rsid w:val="007021A3"/>
    <w:rsid w:val="007141E1"/>
    <w:rsid w:val="00715981"/>
    <w:rsid w:val="00721472"/>
    <w:rsid w:val="00726D66"/>
    <w:rsid w:val="00733789"/>
    <w:rsid w:val="0074750D"/>
    <w:rsid w:val="007516A2"/>
    <w:rsid w:val="00761478"/>
    <w:rsid w:val="00765053"/>
    <w:rsid w:val="00772B3E"/>
    <w:rsid w:val="00773149"/>
    <w:rsid w:val="0077393F"/>
    <w:rsid w:val="00780B5F"/>
    <w:rsid w:val="007862F6"/>
    <w:rsid w:val="0079262A"/>
    <w:rsid w:val="007A1B6B"/>
    <w:rsid w:val="007B3E40"/>
    <w:rsid w:val="007B580B"/>
    <w:rsid w:val="007C5520"/>
    <w:rsid w:val="007C6F8E"/>
    <w:rsid w:val="007D658A"/>
    <w:rsid w:val="007E306F"/>
    <w:rsid w:val="007F16DF"/>
    <w:rsid w:val="007F3584"/>
    <w:rsid w:val="007F4176"/>
    <w:rsid w:val="0080208B"/>
    <w:rsid w:val="008026CC"/>
    <w:rsid w:val="00805A1E"/>
    <w:rsid w:val="00820A96"/>
    <w:rsid w:val="008247DB"/>
    <w:rsid w:val="00831ABE"/>
    <w:rsid w:val="00832B24"/>
    <w:rsid w:val="00843391"/>
    <w:rsid w:val="008500EB"/>
    <w:rsid w:val="00864089"/>
    <w:rsid w:val="008654D3"/>
    <w:rsid w:val="0087456E"/>
    <w:rsid w:val="0088578D"/>
    <w:rsid w:val="008866A5"/>
    <w:rsid w:val="008901CF"/>
    <w:rsid w:val="008B04D3"/>
    <w:rsid w:val="008B3084"/>
    <w:rsid w:val="008B7F68"/>
    <w:rsid w:val="008C2515"/>
    <w:rsid w:val="008C2E99"/>
    <w:rsid w:val="008C32A9"/>
    <w:rsid w:val="008C3544"/>
    <w:rsid w:val="008C4952"/>
    <w:rsid w:val="008D23C4"/>
    <w:rsid w:val="008E164F"/>
    <w:rsid w:val="008E23A2"/>
    <w:rsid w:val="008E275B"/>
    <w:rsid w:val="008F02AC"/>
    <w:rsid w:val="008F319F"/>
    <w:rsid w:val="008F6C28"/>
    <w:rsid w:val="00900AB9"/>
    <w:rsid w:val="0090187D"/>
    <w:rsid w:val="00903C95"/>
    <w:rsid w:val="00906893"/>
    <w:rsid w:val="00906C5A"/>
    <w:rsid w:val="00911264"/>
    <w:rsid w:val="00920C6D"/>
    <w:rsid w:val="00921F8E"/>
    <w:rsid w:val="009342E5"/>
    <w:rsid w:val="0093476D"/>
    <w:rsid w:val="00934839"/>
    <w:rsid w:val="009359A7"/>
    <w:rsid w:val="0093611A"/>
    <w:rsid w:val="00937196"/>
    <w:rsid w:val="00943F5E"/>
    <w:rsid w:val="00947335"/>
    <w:rsid w:val="00951CD6"/>
    <w:rsid w:val="009537C1"/>
    <w:rsid w:val="00954730"/>
    <w:rsid w:val="00980F94"/>
    <w:rsid w:val="00981BC9"/>
    <w:rsid w:val="00982169"/>
    <w:rsid w:val="009824D7"/>
    <w:rsid w:val="00984ACC"/>
    <w:rsid w:val="00994E64"/>
    <w:rsid w:val="00997848"/>
    <w:rsid w:val="009A33AE"/>
    <w:rsid w:val="009A7BE5"/>
    <w:rsid w:val="009B47D7"/>
    <w:rsid w:val="009B6638"/>
    <w:rsid w:val="009B7C22"/>
    <w:rsid w:val="009C04FA"/>
    <w:rsid w:val="009C0D2D"/>
    <w:rsid w:val="009D0556"/>
    <w:rsid w:val="009D0C61"/>
    <w:rsid w:val="009D2ECC"/>
    <w:rsid w:val="00A03716"/>
    <w:rsid w:val="00A12FBB"/>
    <w:rsid w:val="00A22638"/>
    <w:rsid w:val="00A22C22"/>
    <w:rsid w:val="00A24C41"/>
    <w:rsid w:val="00A33CC1"/>
    <w:rsid w:val="00A36853"/>
    <w:rsid w:val="00A3685A"/>
    <w:rsid w:val="00A50121"/>
    <w:rsid w:val="00A50330"/>
    <w:rsid w:val="00A53D6B"/>
    <w:rsid w:val="00A53E78"/>
    <w:rsid w:val="00A567D0"/>
    <w:rsid w:val="00A573B6"/>
    <w:rsid w:val="00A63F0F"/>
    <w:rsid w:val="00A64007"/>
    <w:rsid w:val="00A640A6"/>
    <w:rsid w:val="00A66FA1"/>
    <w:rsid w:val="00A73463"/>
    <w:rsid w:val="00A73A36"/>
    <w:rsid w:val="00A76726"/>
    <w:rsid w:val="00A82273"/>
    <w:rsid w:val="00A8770B"/>
    <w:rsid w:val="00A90270"/>
    <w:rsid w:val="00A92031"/>
    <w:rsid w:val="00A93AE4"/>
    <w:rsid w:val="00AA0964"/>
    <w:rsid w:val="00AA2010"/>
    <w:rsid w:val="00AA5FA8"/>
    <w:rsid w:val="00AB6B29"/>
    <w:rsid w:val="00AC3261"/>
    <w:rsid w:val="00AC3365"/>
    <w:rsid w:val="00AC5049"/>
    <w:rsid w:val="00AC5D52"/>
    <w:rsid w:val="00AD1672"/>
    <w:rsid w:val="00AD2493"/>
    <w:rsid w:val="00AD2B30"/>
    <w:rsid w:val="00AD5DE1"/>
    <w:rsid w:val="00AE4FAF"/>
    <w:rsid w:val="00AE5685"/>
    <w:rsid w:val="00AF2476"/>
    <w:rsid w:val="00AF55E3"/>
    <w:rsid w:val="00B14725"/>
    <w:rsid w:val="00B45154"/>
    <w:rsid w:val="00B45427"/>
    <w:rsid w:val="00B564E2"/>
    <w:rsid w:val="00B573D9"/>
    <w:rsid w:val="00B61FA3"/>
    <w:rsid w:val="00B7025B"/>
    <w:rsid w:val="00B709C8"/>
    <w:rsid w:val="00B72D32"/>
    <w:rsid w:val="00B7763D"/>
    <w:rsid w:val="00B92FCA"/>
    <w:rsid w:val="00B939E9"/>
    <w:rsid w:val="00B958F6"/>
    <w:rsid w:val="00BA7400"/>
    <w:rsid w:val="00BA7AEF"/>
    <w:rsid w:val="00BB01B2"/>
    <w:rsid w:val="00BB2B39"/>
    <w:rsid w:val="00BB51FC"/>
    <w:rsid w:val="00BB77A6"/>
    <w:rsid w:val="00BC4A38"/>
    <w:rsid w:val="00BC7F6D"/>
    <w:rsid w:val="00BD7375"/>
    <w:rsid w:val="00BE33EB"/>
    <w:rsid w:val="00BE691C"/>
    <w:rsid w:val="00BE7434"/>
    <w:rsid w:val="00BF2635"/>
    <w:rsid w:val="00BF4067"/>
    <w:rsid w:val="00BF5A00"/>
    <w:rsid w:val="00C044F7"/>
    <w:rsid w:val="00C13319"/>
    <w:rsid w:val="00C13396"/>
    <w:rsid w:val="00C1686A"/>
    <w:rsid w:val="00C208BD"/>
    <w:rsid w:val="00C20FC9"/>
    <w:rsid w:val="00C23C22"/>
    <w:rsid w:val="00C24637"/>
    <w:rsid w:val="00C35B05"/>
    <w:rsid w:val="00C41113"/>
    <w:rsid w:val="00C4701D"/>
    <w:rsid w:val="00C54138"/>
    <w:rsid w:val="00C557EA"/>
    <w:rsid w:val="00C57ADB"/>
    <w:rsid w:val="00C60457"/>
    <w:rsid w:val="00C847BA"/>
    <w:rsid w:val="00C86E86"/>
    <w:rsid w:val="00C90EB3"/>
    <w:rsid w:val="00C934EE"/>
    <w:rsid w:val="00CA592D"/>
    <w:rsid w:val="00CB08D3"/>
    <w:rsid w:val="00CB1554"/>
    <w:rsid w:val="00CC7216"/>
    <w:rsid w:val="00CC7764"/>
    <w:rsid w:val="00CD0337"/>
    <w:rsid w:val="00CD4D6D"/>
    <w:rsid w:val="00CD5E1A"/>
    <w:rsid w:val="00CE09F4"/>
    <w:rsid w:val="00CE1973"/>
    <w:rsid w:val="00CE7B45"/>
    <w:rsid w:val="00CF2BA8"/>
    <w:rsid w:val="00CF69B7"/>
    <w:rsid w:val="00D037C4"/>
    <w:rsid w:val="00D03C53"/>
    <w:rsid w:val="00D06110"/>
    <w:rsid w:val="00D22A87"/>
    <w:rsid w:val="00D24A1B"/>
    <w:rsid w:val="00D308AA"/>
    <w:rsid w:val="00D40200"/>
    <w:rsid w:val="00D42181"/>
    <w:rsid w:val="00D43384"/>
    <w:rsid w:val="00D43F0E"/>
    <w:rsid w:val="00D4587F"/>
    <w:rsid w:val="00D55185"/>
    <w:rsid w:val="00D55292"/>
    <w:rsid w:val="00D62329"/>
    <w:rsid w:val="00D72873"/>
    <w:rsid w:val="00D72A05"/>
    <w:rsid w:val="00D80C7E"/>
    <w:rsid w:val="00D82B6C"/>
    <w:rsid w:val="00D9502F"/>
    <w:rsid w:val="00D972FD"/>
    <w:rsid w:val="00DA2346"/>
    <w:rsid w:val="00DA3A49"/>
    <w:rsid w:val="00DA4563"/>
    <w:rsid w:val="00DA5BBB"/>
    <w:rsid w:val="00DA7F01"/>
    <w:rsid w:val="00DB3CEE"/>
    <w:rsid w:val="00DC2A9E"/>
    <w:rsid w:val="00DC3BF7"/>
    <w:rsid w:val="00DD2933"/>
    <w:rsid w:val="00DE168C"/>
    <w:rsid w:val="00DE2A65"/>
    <w:rsid w:val="00DF0205"/>
    <w:rsid w:val="00DF09CB"/>
    <w:rsid w:val="00DF44F4"/>
    <w:rsid w:val="00DF471A"/>
    <w:rsid w:val="00E0178D"/>
    <w:rsid w:val="00E024F0"/>
    <w:rsid w:val="00E046B2"/>
    <w:rsid w:val="00E05994"/>
    <w:rsid w:val="00E14630"/>
    <w:rsid w:val="00E21AB7"/>
    <w:rsid w:val="00E232E1"/>
    <w:rsid w:val="00E2407E"/>
    <w:rsid w:val="00E24DF1"/>
    <w:rsid w:val="00E3456B"/>
    <w:rsid w:val="00E35C58"/>
    <w:rsid w:val="00E53EA8"/>
    <w:rsid w:val="00E54237"/>
    <w:rsid w:val="00E577A4"/>
    <w:rsid w:val="00E60345"/>
    <w:rsid w:val="00E62361"/>
    <w:rsid w:val="00E703B6"/>
    <w:rsid w:val="00E73A0D"/>
    <w:rsid w:val="00E758E3"/>
    <w:rsid w:val="00E80354"/>
    <w:rsid w:val="00E80CBB"/>
    <w:rsid w:val="00E828DF"/>
    <w:rsid w:val="00E8376C"/>
    <w:rsid w:val="00E858A9"/>
    <w:rsid w:val="00E91DC6"/>
    <w:rsid w:val="00E9221C"/>
    <w:rsid w:val="00E93F0F"/>
    <w:rsid w:val="00EA154B"/>
    <w:rsid w:val="00EA4454"/>
    <w:rsid w:val="00EB3A26"/>
    <w:rsid w:val="00EB3A8E"/>
    <w:rsid w:val="00ED3296"/>
    <w:rsid w:val="00ED47B8"/>
    <w:rsid w:val="00ED5E30"/>
    <w:rsid w:val="00ED5F71"/>
    <w:rsid w:val="00EE0244"/>
    <w:rsid w:val="00EE3B3C"/>
    <w:rsid w:val="00EF114C"/>
    <w:rsid w:val="00EF6F78"/>
    <w:rsid w:val="00F01792"/>
    <w:rsid w:val="00F0582D"/>
    <w:rsid w:val="00F17C90"/>
    <w:rsid w:val="00F36EBA"/>
    <w:rsid w:val="00F37177"/>
    <w:rsid w:val="00F46494"/>
    <w:rsid w:val="00F51E86"/>
    <w:rsid w:val="00F73028"/>
    <w:rsid w:val="00F73790"/>
    <w:rsid w:val="00F77621"/>
    <w:rsid w:val="00F81622"/>
    <w:rsid w:val="00F90908"/>
    <w:rsid w:val="00F93CB5"/>
    <w:rsid w:val="00F94E9D"/>
    <w:rsid w:val="00FB0ABA"/>
    <w:rsid w:val="00FB275C"/>
    <w:rsid w:val="00FB7E7E"/>
    <w:rsid w:val="00FC0DE2"/>
    <w:rsid w:val="00FC0F25"/>
    <w:rsid w:val="00FD412E"/>
    <w:rsid w:val="00FE4307"/>
    <w:rsid w:val="00FE46ED"/>
    <w:rsid w:val="00FF3590"/>
    <w:rsid w:val="00FF73A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4BE4A"/>
  <w15:chartTrackingRefBased/>
  <w15:docId w15:val="{8D008EB7-4D24-4E75-8F6A-6745A27F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5D52"/>
    <w:pPr>
      <w:widowControl w:val="0"/>
    </w:pPr>
    <w:rPr>
      <w:snapToGrid w:val="0"/>
      <w:sz w:val="24"/>
      <w:lang w:val="en-GB" w:eastAsia="en-US"/>
    </w:rPr>
  </w:style>
  <w:style w:type="paragraph" w:styleId="Heading1">
    <w:name w:val="heading 1"/>
    <w:basedOn w:val="Normal"/>
    <w:next w:val="Normal"/>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Heading4">
    <w:name w:val="heading 4"/>
    <w:basedOn w:val="Normal"/>
    <w:next w:val="Normal"/>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rsid w:val="00111FDC"/>
    <w:pPr>
      <w:keepNext/>
      <w:ind w:right="-36"/>
      <w:jc w:val="both"/>
      <w:outlineLvl w:val="4"/>
    </w:pPr>
    <w:rPr>
      <w:b/>
      <w:bCs/>
    </w:rPr>
  </w:style>
  <w:style w:type="paragraph" w:styleId="Heading6">
    <w:name w:val="heading 6"/>
    <w:basedOn w:val="Normal"/>
    <w:next w:val="Normal"/>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111FDC"/>
    <w:pPr>
      <w:keepNext/>
      <w:outlineLvl w:val="6"/>
    </w:pPr>
    <w:rPr>
      <w:u w:val="single"/>
    </w:rPr>
  </w:style>
  <w:style w:type="paragraph" w:styleId="Heading8">
    <w:name w:val="heading 8"/>
    <w:basedOn w:val="Normal"/>
    <w:next w:val="Normal"/>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FDC"/>
    <w:pPr>
      <w:tabs>
        <w:tab w:val="center" w:pos="4320"/>
        <w:tab w:val="right" w:pos="8640"/>
      </w:tabs>
    </w:pPr>
  </w:style>
  <w:style w:type="paragraph" w:styleId="Footer">
    <w:name w:val="footer"/>
    <w:basedOn w:val="Normal"/>
    <w:rsid w:val="00111FDC"/>
    <w:pPr>
      <w:tabs>
        <w:tab w:val="center" w:pos="4320"/>
        <w:tab w:val="right" w:pos="8640"/>
      </w:tabs>
    </w:pPr>
  </w:style>
  <w:style w:type="paragraph" w:styleId="BodyText">
    <w:name w:val="Body Text"/>
    <w:basedOn w:val="Normal"/>
    <w:rsid w:val="00111FDC"/>
    <w:pPr>
      <w:jc w:val="both"/>
    </w:pPr>
  </w:style>
  <w:style w:type="character" w:styleId="Hyperlink">
    <w:name w:val="Hyperlink"/>
    <w:basedOn w:val="DefaultParagraphFont"/>
    <w:rsid w:val="00111FDC"/>
    <w:rPr>
      <w:color w:val="0000FF"/>
      <w:u w:val="single"/>
    </w:rPr>
  </w:style>
  <w:style w:type="paragraph" w:styleId="BodyText2">
    <w:name w:val="Body Text 2"/>
    <w:basedOn w:val="Normal"/>
    <w:link w:val="BodyText2Char"/>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szCs w:val="24"/>
    </w:rPr>
  </w:style>
  <w:style w:type="paragraph" w:styleId="BodyTextIndent">
    <w:name w:val="Body Text Indent"/>
    <w:basedOn w:val="Normal"/>
    <w:rsid w:val="00111FDC"/>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rsid w:val="00111FDC"/>
    <w:pPr>
      <w:tabs>
        <w:tab w:val="left" w:pos="0"/>
        <w:tab w:val="left" w:pos="720"/>
        <w:tab w:val="left" w:pos="1440"/>
        <w:tab w:val="left" w:pos="1800"/>
      </w:tabs>
      <w:jc w:val="both"/>
    </w:pPr>
    <w:rPr>
      <w:b/>
      <w:bCs/>
      <w:sz w:val="22"/>
      <w:u w:val="single"/>
    </w:rPr>
  </w:style>
  <w:style w:type="paragraph" w:styleId="FootnoteText">
    <w:name w:val="footnote text"/>
    <w:basedOn w:val="Normal"/>
    <w:link w:val="FootnoteTextChar"/>
    <w:uiPriority w:val="99"/>
    <w:rsid w:val="00111FDC"/>
    <w:rPr>
      <w:sz w:val="20"/>
    </w:rPr>
  </w:style>
  <w:style w:type="paragraph" w:styleId="BodyTextIndent2">
    <w:name w:val="Body Text Indent 2"/>
    <w:basedOn w:val="Normal"/>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qFormat/>
    <w:rsid w:val="00111FDC"/>
    <w:pPr>
      <w:widowControl/>
      <w:jc w:val="center"/>
    </w:pPr>
    <w:rPr>
      <w:b/>
      <w:snapToGrid/>
      <w:sz w:val="28"/>
      <w:lang w:val="en-US"/>
    </w:rPr>
  </w:style>
  <w:style w:type="character" w:styleId="FollowedHyperlink">
    <w:name w:val="FollowedHyperlink"/>
    <w:basedOn w:val="DefaultParagraphFont"/>
    <w:rsid w:val="00111FDC"/>
    <w:rPr>
      <w:color w:val="800080"/>
      <w:u w:val="single"/>
    </w:rPr>
  </w:style>
  <w:style w:type="character" w:styleId="FootnoteReference">
    <w:name w:val="footnote reference"/>
    <w:basedOn w:val="DefaultParagraphFont"/>
    <w:uiPriority w:val="99"/>
    <w:rsid w:val="00111FDC"/>
    <w:rPr>
      <w:vertAlign w:val="superscript"/>
    </w:rPr>
  </w:style>
  <w:style w:type="paragraph" w:styleId="BalloonText">
    <w:name w:val="Balloon Text"/>
    <w:basedOn w:val="Normal"/>
    <w:semiHidden/>
    <w:rsid w:val="00111FDC"/>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uiPriority w:val="39"/>
    <w:rsid w:val="0006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061734"/>
    <w:pPr>
      <w:widowControl/>
    </w:pPr>
    <w:rPr>
      <w:snapToGrid/>
      <w:szCs w:val="24"/>
      <w:lang w:val="pl-PL" w:eastAsia="pl-PL"/>
    </w:rPr>
  </w:style>
  <w:style w:type="character" w:styleId="CommentReference">
    <w:name w:val="annotation reference"/>
    <w:basedOn w:val="DefaultParagraphFont"/>
    <w:semiHidden/>
    <w:rsid w:val="00E73A0D"/>
    <w:rPr>
      <w:sz w:val="16"/>
      <w:szCs w:val="16"/>
    </w:rPr>
  </w:style>
  <w:style w:type="paragraph" w:styleId="CommentText">
    <w:name w:val="annotation text"/>
    <w:basedOn w:val="Normal"/>
    <w:link w:val="CommentTextChar"/>
    <w:uiPriority w:val="99"/>
    <w:semiHidden/>
    <w:rsid w:val="00E73A0D"/>
    <w:rPr>
      <w:sz w:val="20"/>
    </w:rPr>
  </w:style>
  <w:style w:type="paragraph" w:styleId="CommentSubject">
    <w:name w:val="annotation subject"/>
    <w:basedOn w:val="CommentText"/>
    <w:next w:val="CommentText"/>
    <w:semiHidden/>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uiPriority w:val="99"/>
    <w:rsid w:val="003D073A"/>
    <w:pPr>
      <w:widowControl/>
      <w:spacing w:before="100" w:beforeAutospacing="1" w:after="100" w:afterAutospacing="1"/>
    </w:pPr>
    <w:rPr>
      <w:rFonts w:ascii="Book Antiqua" w:hAnsi="Book Antiqua"/>
      <w:snapToGrid/>
      <w:szCs w:val="24"/>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rsid w:val="00422F77"/>
    <w:pPr>
      <w:widowControl/>
      <w:spacing w:before="100" w:beforeAutospacing="1" w:after="100" w:afterAutospacing="1"/>
    </w:pPr>
    <w:rPr>
      <w:snapToGrid/>
      <w:szCs w:val="24"/>
      <w:lang w:val="en-US"/>
    </w:rPr>
  </w:style>
  <w:style w:type="character" w:customStyle="1" w:styleId="PlainTextChar">
    <w:name w:val="Plain Text Char"/>
    <w:basedOn w:val="DefaultParagraphFont"/>
    <w:link w:val="PlainText"/>
    <w:rsid w:val="00422F77"/>
    <w:rPr>
      <w:sz w:val="24"/>
      <w:szCs w:val="24"/>
    </w:rPr>
  </w:style>
  <w:style w:type="character" w:customStyle="1" w:styleId="Heading3Char">
    <w:name w:val="Heading 3 Char"/>
    <w:basedOn w:val="DefaultParagraphFont"/>
    <w:link w:val="Heading3"/>
    <w:rsid w:val="007C6F8E"/>
    <w:rPr>
      <w:b/>
      <w:bCs/>
      <w:sz w:val="22"/>
      <w:szCs w:val="24"/>
      <w:u w:val="single"/>
      <w:lang w:val="en-GB" w:eastAsia="en-US"/>
    </w:rPr>
  </w:style>
  <w:style w:type="character" w:customStyle="1" w:styleId="BodyText2Char">
    <w:name w:val="Body Text 2 Char"/>
    <w:basedOn w:val="DefaultParagraphFont"/>
    <w:link w:val="BodyText2"/>
    <w:rsid w:val="007C6F8E"/>
    <w:rPr>
      <w:rFonts w:ascii="Helv" w:hAnsi="Helv"/>
      <w:sz w:val="22"/>
      <w:lang w:val="en-GB" w:eastAsia="en-US"/>
    </w:rPr>
  </w:style>
  <w:style w:type="character" w:styleId="UnresolvedMention">
    <w:name w:val="Unresolved Mention"/>
    <w:basedOn w:val="DefaultParagraphFont"/>
    <w:uiPriority w:val="99"/>
    <w:semiHidden/>
    <w:unhideWhenUsed/>
    <w:rsid w:val="00362F8D"/>
    <w:rPr>
      <w:color w:val="605E5C"/>
      <w:shd w:val="clear" w:color="auto" w:fill="E1DFDD"/>
    </w:rPr>
  </w:style>
  <w:style w:type="character" w:styleId="Strong">
    <w:name w:val="Strong"/>
    <w:basedOn w:val="DefaultParagraphFont"/>
    <w:uiPriority w:val="22"/>
    <w:qFormat/>
    <w:rsid w:val="00FC0DE2"/>
    <w:rPr>
      <w:b/>
      <w:bCs/>
      <w:color w:val="000000"/>
    </w:rPr>
  </w:style>
  <w:style w:type="table" w:styleId="GridTable1Light-Accent2">
    <w:name w:val="Grid Table 1 Light Accent 2"/>
    <w:basedOn w:val="TableNormal"/>
    <w:uiPriority w:val="46"/>
    <w:rsid w:val="00DF44F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F44F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DF44F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CommentTextChar">
    <w:name w:val="Comment Text Char"/>
    <w:basedOn w:val="DefaultParagraphFont"/>
    <w:link w:val="CommentText"/>
    <w:uiPriority w:val="99"/>
    <w:semiHidden/>
    <w:rsid w:val="00A53E78"/>
    <w:rPr>
      <w:snapToGrid w:val="0"/>
      <w:lang w:val="en-GB" w:eastAsia="en-US"/>
    </w:rPr>
  </w:style>
  <w:style w:type="character" w:customStyle="1" w:styleId="FootnoteTextChar">
    <w:name w:val="Footnote Text Char"/>
    <w:basedOn w:val="DefaultParagraphFont"/>
    <w:link w:val="FootnoteText"/>
    <w:uiPriority w:val="99"/>
    <w:rsid w:val="00BE33EB"/>
    <w:rPr>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06053">
      <w:bodyDiv w:val="1"/>
      <w:marLeft w:val="0"/>
      <w:marRight w:val="0"/>
      <w:marTop w:val="0"/>
      <w:marBottom w:val="0"/>
      <w:divBdr>
        <w:top w:val="none" w:sz="0" w:space="0" w:color="auto"/>
        <w:left w:val="none" w:sz="0" w:space="0" w:color="auto"/>
        <w:bottom w:val="none" w:sz="0" w:space="0" w:color="auto"/>
        <w:right w:val="none" w:sz="0" w:space="0" w:color="auto"/>
      </w:divBdr>
      <w:divsChild>
        <w:div w:id="1065494679">
          <w:marLeft w:val="0"/>
          <w:marRight w:val="0"/>
          <w:marTop w:val="0"/>
          <w:marBottom w:val="0"/>
          <w:divBdr>
            <w:top w:val="none" w:sz="0" w:space="0" w:color="auto"/>
            <w:left w:val="none" w:sz="0" w:space="0" w:color="auto"/>
            <w:bottom w:val="none" w:sz="0" w:space="0" w:color="auto"/>
            <w:right w:val="none" w:sz="0" w:space="0" w:color="auto"/>
          </w:divBdr>
          <w:divsChild>
            <w:div w:id="1293170356">
              <w:marLeft w:val="0"/>
              <w:marRight w:val="0"/>
              <w:marTop w:val="0"/>
              <w:marBottom w:val="0"/>
              <w:divBdr>
                <w:top w:val="none" w:sz="0" w:space="0" w:color="auto"/>
                <w:left w:val="none" w:sz="0" w:space="0" w:color="auto"/>
                <w:bottom w:val="none" w:sz="0" w:space="0" w:color="auto"/>
                <w:right w:val="none" w:sz="0" w:space="0" w:color="auto"/>
              </w:divBdr>
              <w:divsChild>
                <w:div w:id="1341200614">
                  <w:marLeft w:val="0"/>
                  <w:marRight w:val="0"/>
                  <w:marTop w:val="0"/>
                  <w:marBottom w:val="0"/>
                  <w:divBdr>
                    <w:top w:val="none" w:sz="0" w:space="0" w:color="auto"/>
                    <w:left w:val="none" w:sz="0" w:space="0" w:color="auto"/>
                    <w:bottom w:val="none" w:sz="0" w:space="0" w:color="auto"/>
                    <w:right w:val="none" w:sz="0" w:space="0" w:color="auto"/>
                  </w:divBdr>
                  <w:divsChild>
                    <w:div w:id="10954947">
                      <w:marLeft w:val="0"/>
                      <w:marRight w:val="0"/>
                      <w:marTop w:val="0"/>
                      <w:marBottom w:val="0"/>
                      <w:divBdr>
                        <w:top w:val="none" w:sz="0" w:space="0" w:color="auto"/>
                        <w:left w:val="none" w:sz="0" w:space="0" w:color="auto"/>
                        <w:bottom w:val="none" w:sz="0" w:space="0" w:color="auto"/>
                        <w:right w:val="none" w:sz="0" w:space="0" w:color="auto"/>
                      </w:divBdr>
                      <w:divsChild>
                        <w:div w:id="1945073042">
                          <w:marLeft w:val="0"/>
                          <w:marRight w:val="0"/>
                          <w:marTop w:val="0"/>
                          <w:marBottom w:val="0"/>
                          <w:divBdr>
                            <w:top w:val="none" w:sz="0" w:space="0" w:color="auto"/>
                            <w:left w:val="none" w:sz="0" w:space="0" w:color="auto"/>
                            <w:bottom w:val="none" w:sz="0" w:space="0" w:color="auto"/>
                            <w:right w:val="none" w:sz="0" w:space="0" w:color="auto"/>
                          </w:divBdr>
                          <w:divsChild>
                            <w:div w:id="2052414530">
                              <w:marLeft w:val="0"/>
                              <w:marRight w:val="0"/>
                              <w:marTop w:val="0"/>
                              <w:marBottom w:val="0"/>
                              <w:divBdr>
                                <w:top w:val="none" w:sz="0" w:space="0" w:color="auto"/>
                                <w:left w:val="none" w:sz="0" w:space="0" w:color="auto"/>
                                <w:bottom w:val="none" w:sz="0" w:space="0" w:color="auto"/>
                                <w:right w:val="none" w:sz="0" w:space="0" w:color="auto"/>
                              </w:divBdr>
                              <w:divsChild>
                                <w:div w:id="1863546124">
                                  <w:marLeft w:val="0"/>
                                  <w:marRight w:val="0"/>
                                  <w:marTop w:val="0"/>
                                  <w:marBottom w:val="0"/>
                                  <w:divBdr>
                                    <w:top w:val="none" w:sz="0" w:space="0" w:color="auto"/>
                                    <w:left w:val="none" w:sz="0" w:space="0" w:color="auto"/>
                                    <w:bottom w:val="none" w:sz="0" w:space="0" w:color="auto"/>
                                    <w:right w:val="none" w:sz="0" w:space="0" w:color="auto"/>
                                  </w:divBdr>
                                  <w:divsChild>
                                    <w:div w:id="79303167">
                                      <w:marLeft w:val="0"/>
                                      <w:marRight w:val="0"/>
                                      <w:marTop w:val="0"/>
                                      <w:marBottom w:val="0"/>
                                      <w:divBdr>
                                        <w:top w:val="none" w:sz="0" w:space="0" w:color="auto"/>
                                        <w:left w:val="none" w:sz="0" w:space="0" w:color="auto"/>
                                        <w:bottom w:val="none" w:sz="0" w:space="0" w:color="auto"/>
                                        <w:right w:val="none" w:sz="0" w:space="0" w:color="auto"/>
                                      </w:divBdr>
                                      <w:divsChild>
                                        <w:div w:id="167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2020-07-07T21:00:00+00:00</UNDPPublishedDate>
    <UNDPCountryTaxHTField0 xmlns="1ed4137b-41b2-488b-8250-6d369ec27664">
      <Terms xmlns="http://schemas.microsoft.com/office/infopath/2007/PartnerControls"/>
    </UNDPCountryTaxHTField0>
    <UndpOUCode xmlns="1ed4137b-41b2-488b-8250-6d369ec27664">PAN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Sustainable Development Pathways</TermName>
          <TermId xmlns="http://schemas.microsoft.com/office/infopath/2007/PartnerControls">79e94708-cc6c-4567-9d35-323744da340d</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2019-12-13T05:00:00+00:00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1110</Value>
      <Value>1179</Value>
      <Value>1143</Value>
      <Value>1</Value>
      <Value>763</Value>
    </TaxCatchAll>
    <c4e2ab2cc9354bbf9064eeb465a566ea xmlns="1ed4137b-41b2-488b-8250-6d369ec27664">
      <Terms xmlns="http://schemas.microsoft.com/office/infopath/2007/PartnerControls"/>
    </c4e2ab2cc9354bbf9064eeb465a566ea>
    <UndpProjectNo xmlns="1ed4137b-41b2-488b-8250-6d369ec27664">00124267</UndpProjectNo>
    <UndpDocStatus xmlns="1ed4137b-41b2-488b-8250-6d369ec27664">Final</UndpDocStatus>
    <Outcome1 xmlns="f1161f5b-24a3-4c2d-bc81-44cb9325e8ee">00119274</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PAN</TermName>
          <TermId xmlns="http://schemas.microsoft.com/office/infopath/2007/PartnerControls">80cf6c66-f259-423f-bd91-0b0cb7f2fc57</TermId>
        </TermInfo>
      </Terms>
    </gc6531b704974d528487414686b72f6f>
    <_dlc_DocId xmlns="f1161f5b-24a3-4c2d-bc81-44cb9325e8ee">ATLASPDC-4-121157</_dlc_DocId>
    <_dlc_DocIdUrl xmlns="f1161f5b-24a3-4c2d-bc81-44cb9325e8ee">
      <Url>https://info.undp.org/docs/pdc/_layouts/DocIdRedir.aspx?ID=ATLASPDC-4-121157</Url>
      <Description>ATLASPDC-4-121157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245445D-20C7-4A59-AFB2-997C1EC9D369}">
  <ds:schemaRefs>
    <ds:schemaRef ds:uri="http://schemas.openxmlformats.org/officeDocument/2006/bibliography"/>
  </ds:schemaRefs>
</ds:datastoreItem>
</file>

<file path=customXml/itemProps2.xml><?xml version="1.0" encoding="utf-8"?>
<ds:datastoreItem xmlns:ds="http://schemas.openxmlformats.org/officeDocument/2006/customXml" ds:itemID="{D19296FC-F889-450A-90CC-00E58C726804}"/>
</file>

<file path=customXml/itemProps3.xml><?xml version="1.0" encoding="utf-8"?>
<ds:datastoreItem xmlns:ds="http://schemas.openxmlformats.org/officeDocument/2006/customXml" ds:itemID="{AD3E14D6-06CB-4589-BE4B-CDA9AF8CA600}"/>
</file>

<file path=customXml/itemProps4.xml><?xml version="1.0" encoding="utf-8"?>
<ds:datastoreItem xmlns:ds="http://schemas.openxmlformats.org/officeDocument/2006/customXml" ds:itemID="{F5D1CD7B-C7AB-466A-AC8A-9984BB69912E}"/>
</file>

<file path=customXml/itemProps5.xml><?xml version="1.0" encoding="utf-8"?>
<ds:datastoreItem xmlns:ds="http://schemas.openxmlformats.org/officeDocument/2006/customXml" ds:itemID="{D373BEF2-433C-4638-AE1D-7CEB29C8E669}"/>
</file>

<file path=customXml/itemProps6.xml><?xml version="1.0" encoding="utf-8"?>
<ds:datastoreItem xmlns:ds="http://schemas.openxmlformats.org/officeDocument/2006/customXml" ds:itemID="{6C1DABD8-C4CC-4B00-ABBD-8DB3AB867ED4}"/>
</file>

<file path=docProps/app.xml><?xml version="1.0" encoding="utf-8"?>
<Properties xmlns="http://schemas.openxmlformats.org/officeDocument/2006/extended-properties" xmlns:vt="http://schemas.openxmlformats.org/officeDocument/2006/docPropsVTypes">
  <Template>Normal</Template>
  <TotalTime>2</TotalTime>
  <Pages>4</Pages>
  <Words>1006</Words>
  <Characters>5738</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6731</CharactersWithSpaces>
  <SharedDoc>false</SharedDoc>
  <HLinks>
    <vt:vector size="24" baseType="variant">
      <vt:variant>
        <vt:i4>8192079</vt:i4>
      </vt:variant>
      <vt:variant>
        <vt:i4>9</vt:i4>
      </vt:variant>
      <vt:variant>
        <vt:i4>0</vt:i4>
      </vt:variant>
      <vt:variant>
        <vt:i4>5</vt:i4>
      </vt:variant>
      <vt:variant>
        <vt:lpwstr>http://www.undp.org/mdtf/reporting_portal.shtml</vt:lpwstr>
      </vt:variant>
      <vt:variant>
        <vt:lpwstr/>
      </vt:variant>
      <vt:variant>
        <vt:i4>8192079</vt:i4>
      </vt:variant>
      <vt:variant>
        <vt:i4>6</vt:i4>
      </vt:variant>
      <vt:variant>
        <vt:i4>0</vt:i4>
      </vt:variant>
      <vt:variant>
        <vt:i4>5</vt:i4>
      </vt:variant>
      <vt:variant>
        <vt:lpwstr>http://www.undp.org/mdtf/reporting_portal.shtml</vt:lpwstr>
      </vt:variant>
      <vt:variant>
        <vt:lpwstr/>
      </vt:variant>
      <vt:variant>
        <vt:i4>852089</vt:i4>
      </vt:variant>
      <vt:variant>
        <vt:i4>3</vt:i4>
      </vt:variant>
      <vt:variant>
        <vt:i4>0</vt:i4>
      </vt:variant>
      <vt:variant>
        <vt:i4>5</vt:i4>
      </vt:variant>
      <vt:variant>
        <vt:lpwstr>mailto:anders.thomsen@undp.org</vt:lpwstr>
      </vt:variant>
      <vt:variant>
        <vt:lpwstr/>
      </vt:variant>
      <vt:variant>
        <vt:i4>852066</vt:i4>
      </vt:variant>
      <vt:variant>
        <vt:i4>0</vt:i4>
      </vt:variant>
      <vt:variant>
        <vt:i4>0</vt:i4>
      </vt:variant>
      <vt:variant>
        <vt:i4>5</vt:i4>
      </vt:variant>
      <vt:variant>
        <vt:lpwstr>../../../Local Settings/Temporary Internet Files/Content.Outlook/5NRKDG2B/mari.matsumoto@undp.org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Facility-Panama Cyan Economy 2020</dc:title>
  <dc:subject/>
  <dc:creator/>
  <cp:keywords/>
  <dc:description/>
  <cp:lastModifiedBy>Irina Madrid</cp:lastModifiedBy>
  <cp:revision>4</cp:revision>
  <cp:lastPrinted>2009-02-06T00:56:00Z</cp:lastPrinted>
  <dcterms:created xsi:type="dcterms:W3CDTF">2020-02-13T20:30:00Z</dcterms:created>
  <dcterms:modified xsi:type="dcterms:W3CDTF">2020-07-07T21:51:00Z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1143;#PAN|80cf6c66-f259-423f-bd91-0b0cb7f2fc57</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1179;#Sustainable Development Pathways|79e94708-cc6c-4567-9d35-323744da340d</vt:lpwstr>
  </property>
  <property fmtid="{D5CDD505-2E9C-101B-9397-08002B2CF9AE}" pid="13" name="_dlc_DocIdItemGuid">
    <vt:lpwstr>c2ddf525-bc32-4086-9f1e-d9f3ef13abee</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